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34" w:rsidRDefault="00853902" w:rsidP="00853902">
      <w:pPr>
        <w:suppressAutoHyphens w:val="0"/>
        <w:spacing w:after="240"/>
        <w:ind w:left="2160" w:firstLine="720"/>
        <w:jc w:val="both"/>
        <w:rPr>
          <w:rFonts w:ascii="Calibri" w:hAnsi="Calibri" w:cs="Calibri"/>
          <w:b/>
          <w:bCs/>
          <w:sz w:val="22"/>
          <w:lang w:eastAsia="en-US"/>
        </w:rPr>
      </w:pPr>
      <w:r>
        <w:rPr>
          <w:rFonts w:ascii="Calibri" w:hAnsi="Calibri" w:cs="Calibri"/>
          <w:b/>
          <w:bCs/>
          <w:sz w:val="22"/>
          <w:lang w:eastAsia="en-US"/>
        </w:rPr>
        <w:t xml:space="preserve">       </w:t>
      </w:r>
      <w:r>
        <w:rPr>
          <w:rFonts w:ascii="Calibri" w:hAnsi="Calibri" w:cs="Calibri"/>
          <w:b/>
          <w:bCs/>
          <w:noProof/>
          <w:sz w:val="22"/>
          <w:lang w:eastAsia="en-GB"/>
        </w:rPr>
        <w:drawing>
          <wp:inline distT="0" distB="0" distL="0" distR="0">
            <wp:extent cx="2029108" cy="1305107"/>
            <wp:effectExtent l="19050" t="0" r="9242" b="0"/>
            <wp:docPr id="1" name="Picture 0"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8"/>
                    <a:stretch>
                      <a:fillRect/>
                    </a:stretch>
                  </pic:blipFill>
                  <pic:spPr>
                    <a:xfrm>
                      <a:off x="0" y="0"/>
                      <a:ext cx="2029108" cy="1305107"/>
                    </a:xfrm>
                    <a:prstGeom prst="rect">
                      <a:avLst/>
                    </a:prstGeom>
                  </pic:spPr>
                </pic:pic>
              </a:graphicData>
            </a:graphic>
          </wp:inline>
        </w:drawing>
      </w:r>
    </w:p>
    <w:p w:rsidR="00853902" w:rsidRDefault="00853902" w:rsidP="00853902">
      <w:pPr>
        <w:suppressAutoHyphens w:val="0"/>
        <w:spacing w:after="240"/>
        <w:jc w:val="center"/>
        <w:rPr>
          <w:rFonts w:ascii="Calibri" w:hAnsi="Calibri" w:cs="Calibri"/>
          <w:b/>
          <w:bCs/>
          <w:sz w:val="72"/>
          <w:szCs w:val="72"/>
          <w:lang w:eastAsia="en-US"/>
        </w:rPr>
      </w:pPr>
      <w:r w:rsidRPr="00853902">
        <w:rPr>
          <w:rFonts w:ascii="Calibri" w:hAnsi="Calibri" w:cs="Calibri"/>
          <w:b/>
          <w:bCs/>
          <w:sz w:val="72"/>
          <w:szCs w:val="72"/>
          <w:lang w:eastAsia="en-US"/>
        </w:rPr>
        <w:t>St. John’s Special</w:t>
      </w:r>
      <w:r>
        <w:rPr>
          <w:rFonts w:ascii="Calibri" w:hAnsi="Calibri" w:cs="Calibri"/>
          <w:b/>
          <w:bCs/>
          <w:sz w:val="72"/>
          <w:szCs w:val="72"/>
          <w:lang w:eastAsia="en-US"/>
        </w:rPr>
        <w:t xml:space="preserve"> </w:t>
      </w:r>
      <w:r w:rsidRPr="00853902">
        <w:rPr>
          <w:rFonts w:ascii="Calibri" w:hAnsi="Calibri" w:cs="Calibri"/>
          <w:b/>
          <w:bCs/>
          <w:sz w:val="72"/>
          <w:szCs w:val="72"/>
          <w:lang w:eastAsia="en-US"/>
        </w:rPr>
        <w:t>School</w:t>
      </w:r>
    </w:p>
    <w:p w:rsidR="00853902" w:rsidRPr="00853902" w:rsidRDefault="00853902" w:rsidP="00853902">
      <w:pPr>
        <w:suppressAutoHyphens w:val="0"/>
        <w:spacing w:after="240"/>
        <w:jc w:val="center"/>
        <w:rPr>
          <w:rFonts w:ascii="Calibri" w:hAnsi="Calibri" w:cs="Calibri"/>
          <w:b/>
          <w:bCs/>
          <w:sz w:val="72"/>
          <w:szCs w:val="72"/>
          <w:lang w:eastAsia="en-US"/>
        </w:rPr>
      </w:pPr>
      <w:r w:rsidRPr="00853902">
        <w:rPr>
          <w:rFonts w:ascii="Calibri" w:hAnsi="Calibri" w:cs="Calibri"/>
          <w:b/>
          <w:bCs/>
          <w:sz w:val="72"/>
          <w:szCs w:val="72"/>
          <w:lang w:eastAsia="en-US"/>
        </w:rPr>
        <w:t>Data Protection Policy</w:t>
      </w:r>
    </w:p>
    <w:p w:rsidR="002236F1" w:rsidRPr="00A34C3B" w:rsidRDefault="00731B34" w:rsidP="00A34C3B">
      <w:pPr>
        <w:pBdr>
          <w:top w:val="single" w:sz="4" w:space="1" w:color="auto"/>
          <w:left w:val="single" w:sz="4" w:space="4" w:color="auto"/>
          <w:bottom w:val="single" w:sz="4" w:space="1" w:color="auto"/>
          <w:right w:val="single" w:sz="4" w:space="4" w:color="auto"/>
        </w:pBdr>
        <w:suppressAutoHyphens w:val="0"/>
        <w:spacing w:after="240"/>
        <w:jc w:val="both"/>
        <w:rPr>
          <w:rFonts w:ascii="Calibri" w:hAnsi="Calibri" w:cs="Calibri"/>
          <w:bCs/>
          <w:i/>
          <w:sz w:val="22"/>
          <w:lang w:eastAsia="en-US"/>
        </w:rPr>
      </w:pPr>
      <w:r w:rsidRPr="00731B34">
        <w:rPr>
          <w:rFonts w:ascii="Calibri" w:hAnsi="Calibri" w:cs="Calibri"/>
          <w:bCs/>
          <w:i/>
          <w:sz w:val="22"/>
          <w:u w:val="single"/>
          <w:lang w:eastAsia="en-US"/>
        </w:rPr>
        <w:t>Disclaimer</w:t>
      </w:r>
      <w:r w:rsidRPr="00731B34">
        <w:rPr>
          <w:rFonts w:ascii="Calibri" w:hAnsi="Calibri" w:cs="Calibri"/>
          <w:bCs/>
          <w:i/>
          <w:sz w:val="22"/>
          <w:lang w:eastAsia="en-US"/>
        </w:rPr>
        <w:t xml:space="preserve">: This document is provided as a resource to assist schools. Using this resource is no substitute for undertaking an audit </w:t>
      </w:r>
      <w:r w:rsidR="0078411F">
        <w:rPr>
          <w:rFonts w:ascii="Calibri" w:hAnsi="Calibri" w:cs="Calibri"/>
          <w:bCs/>
          <w:i/>
          <w:sz w:val="22"/>
          <w:lang w:eastAsia="en-US"/>
        </w:rPr>
        <w:t xml:space="preserve">of </w:t>
      </w:r>
      <w:r w:rsidRPr="00731B34">
        <w:rPr>
          <w:rFonts w:ascii="Calibri" w:hAnsi="Calibri" w:cs="Calibri"/>
          <w:bCs/>
          <w:i/>
          <w:sz w:val="22"/>
          <w:lang w:eastAsia="en-US"/>
        </w:rPr>
        <w:t xml:space="preserve">data processing operations and </w:t>
      </w:r>
      <w:r w:rsidR="0078411F">
        <w:rPr>
          <w:rFonts w:ascii="Calibri" w:hAnsi="Calibri" w:cs="Calibri"/>
          <w:bCs/>
          <w:i/>
          <w:sz w:val="22"/>
          <w:lang w:eastAsia="en-US"/>
        </w:rPr>
        <w:t>tailoringthis</w:t>
      </w:r>
      <w:r w:rsidRPr="00731B34">
        <w:rPr>
          <w:rFonts w:ascii="Calibri" w:hAnsi="Calibri" w:cs="Calibri"/>
          <w:bCs/>
          <w:i/>
          <w:sz w:val="22"/>
          <w:lang w:eastAsia="en-US"/>
        </w:rPr>
        <w:t xml:space="preserve"> policy</w:t>
      </w:r>
      <w:r w:rsidR="0078411F">
        <w:rPr>
          <w:rFonts w:ascii="Calibri" w:hAnsi="Calibri" w:cs="Calibri"/>
          <w:bCs/>
          <w:i/>
          <w:sz w:val="22"/>
          <w:lang w:eastAsia="en-US"/>
        </w:rPr>
        <w:t xml:space="preserve"> to reflect each</w:t>
      </w:r>
      <w:r w:rsidR="00E040C7">
        <w:rPr>
          <w:rFonts w:ascii="Calibri" w:hAnsi="Calibri" w:cs="Calibri"/>
          <w:bCs/>
          <w:i/>
          <w:sz w:val="22"/>
          <w:lang w:eastAsia="en-US"/>
        </w:rPr>
        <w:t xml:space="preserve"> school’s activities, recipients, data processors etc.).</w:t>
      </w:r>
      <w:r w:rsidRPr="00731B34">
        <w:rPr>
          <w:rFonts w:ascii="Calibri" w:hAnsi="Calibri" w:cs="Calibri"/>
          <w:bCs/>
          <w:i/>
          <w:sz w:val="22"/>
          <w:lang w:eastAsia="en-US"/>
        </w:rPr>
        <w:t xml:space="preserve">While every effort has been made to ensure the accuracy of the information provided, schools are advised to exercise common sense, consult up to date circulars, legislation, case-law, and/or guidelines from relevant agencies.  </w:t>
      </w:r>
      <w:r w:rsidR="0078411F">
        <w:rPr>
          <w:rFonts w:ascii="Calibri" w:hAnsi="Calibri" w:cs="Calibri"/>
          <w:bCs/>
          <w:i/>
          <w:sz w:val="22"/>
          <w:lang w:eastAsia="en-US"/>
        </w:rPr>
        <w:t>Where</w:t>
      </w:r>
      <w:r w:rsidRPr="00731B34">
        <w:rPr>
          <w:rFonts w:ascii="Calibri" w:hAnsi="Calibri" w:cs="Calibri"/>
          <w:bCs/>
          <w:i/>
          <w:sz w:val="22"/>
          <w:lang w:eastAsia="en-US"/>
        </w:rPr>
        <w:t xml:space="preserve"> specific queries </w:t>
      </w:r>
      <w:r w:rsidR="0078411F">
        <w:rPr>
          <w:rFonts w:ascii="Calibri" w:hAnsi="Calibri" w:cs="Calibri"/>
          <w:bCs/>
          <w:i/>
          <w:sz w:val="22"/>
          <w:lang w:eastAsia="en-US"/>
        </w:rPr>
        <w:t>arise</w:t>
      </w:r>
      <w:r w:rsidRPr="00731B34">
        <w:rPr>
          <w:rFonts w:ascii="Calibri" w:hAnsi="Calibri" w:cs="Calibri"/>
          <w:bCs/>
          <w:i/>
          <w:sz w:val="22"/>
          <w:lang w:eastAsia="en-US"/>
        </w:rPr>
        <w:t>, schools are urged to obtain timely advice from their management body. Data protection and education law change all the time, so each school need</w:t>
      </w:r>
      <w:r w:rsidR="00E040C7">
        <w:rPr>
          <w:rFonts w:ascii="Calibri" w:hAnsi="Calibri" w:cs="Calibri"/>
          <w:bCs/>
          <w:i/>
          <w:sz w:val="22"/>
          <w:lang w:eastAsia="en-US"/>
        </w:rPr>
        <w:t>s</w:t>
      </w:r>
      <w:r w:rsidRPr="00731B34">
        <w:rPr>
          <w:rFonts w:ascii="Calibri" w:hAnsi="Calibri" w:cs="Calibri"/>
          <w:bCs/>
          <w:i/>
          <w:sz w:val="22"/>
          <w:lang w:eastAsia="en-US"/>
        </w:rPr>
        <w:t xml:space="preserve"> to keep its policies and practices up to date.  This document does not constitute legal advice.</w:t>
      </w:r>
    </w:p>
    <w:p w:rsidR="00A34C3B" w:rsidRDefault="00A34C3B" w:rsidP="00A34C3B">
      <w:pPr>
        <w:suppressAutoHyphens w:val="0"/>
        <w:spacing w:before="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A34C3B" w:rsidRPr="00A34C3B" w:rsidRDefault="009C38DC">
          <w:pPr>
            <w:pStyle w:val="TOC1"/>
            <w:tabs>
              <w:tab w:val="left" w:pos="440"/>
              <w:tab w:val="right" w:leader="dot" w:pos="10194"/>
            </w:tabs>
            <w:rPr>
              <w:rFonts w:ascii="Calibri" w:hAnsi="Calibri" w:cs="Calibri"/>
              <w:noProof/>
              <w:lang w:val="en-IE" w:eastAsia="en-IE"/>
            </w:rPr>
          </w:pPr>
          <w:r w:rsidRPr="009C38DC">
            <w:rPr>
              <w:rFonts w:asciiTheme="majorHAnsi" w:hAnsiTheme="majorHAnsi" w:cstheme="majorHAnsi"/>
              <w:b/>
              <w:bCs/>
              <w:noProof/>
              <w:color w:val="000000" w:themeColor="text1"/>
            </w:rPr>
            <w:fldChar w:fldCharType="begin"/>
          </w:r>
          <w:r w:rsidR="00122F7B" w:rsidRPr="00A34C3B">
            <w:rPr>
              <w:rFonts w:asciiTheme="majorHAnsi" w:hAnsiTheme="majorHAnsi" w:cstheme="majorHAnsi"/>
              <w:b/>
              <w:bCs/>
              <w:noProof/>
              <w:color w:val="000000" w:themeColor="text1"/>
            </w:rPr>
            <w:instrText xml:space="preserve"> TOC \o "1-3" \h \z \u </w:instrText>
          </w:r>
          <w:r w:rsidRPr="009C38DC">
            <w:rPr>
              <w:rFonts w:asciiTheme="majorHAnsi" w:hAnsiTheme="majorHAnsi" w:cstheme="majorHAnsi"/>
              <w:b/>
              <w:bCs/>
              <w:noProof/>
              <w:color w:val="000000" w:themeColor="text1"/>
            </w:rPr>
            <w:fldChar w:fldCharType="separate"/>
          </w:r>
          <w:hyperlink w:anchor="_Toc4162924" w:history="1">
            <w:r w:rsidR="00A34C3B" w:rsidRPr="00A34C3B">
              <w:rPr>
                <w:rStyle w:val="Hyperlink"/>
                <w:rFonts w:ascii="Calibri" w:hAnsi="Calibri" w:cs="Calibri"/>
                <w:noProof/>
              </w:rPr>
              <w:t>1</w:t>
            </w:r>
            <w:r w:rsidR="00A34C3B" w:rsidRPr="00A34C3B">
              <w:rPr>
                <w:rFonts w:ascii="Calibri" w:hAnsi="Calibri" w:cs="Calibri"/>
                <w:noProof/>
                <w:lang w:val="en-IE" w:eastAsia="en-IE"/>
              </w:rPr>
              <w:tab/>
            </w:r>
            <w:r w:rsidR="00A34C3B" w:rsidRPr="00A34C3B">
              <w:rPr>
                <w:rStyle w:val="Hyperlink"/>
                <w:rFonts w:ascii="Calibri" w:hAnsi="Calibri" w:cs="Calibri"/>
                <w:noProof/>
              </w:rPr>
              <w:t>Purpose and Scope</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_Toc4162924 \h </w:instrText>
            </w:r>
            <w:r w:rsidRPr="00A34C3B">
              <w:rPr>
                <w:rFonts w:ascii="Calibri" w:hAnsi="Calibri" w:cs="Calibri"/>
                <w:noProof/>
                <w:webHidden/>
              </w:rPr>
            </w:r>
            <w:r w:rsidRPr="00A34C3B">
              <w:rPr>
                <w:rFonts w:ascii="Calibri" w:hAnsi="Calibri" w:cs="Calibri"/>
                <w:noProof/>
                <w:webHidden/>
              </w:rPr>
              <w:fldChar w:fldCharType="separate"/>
            </w:r>
            <w:r w:rsidR="002D438E">
              <w:rPr>
                <w:rFonts w:ascii="Calibri" w:hAnsi="Calibri" w:cs="Calibri"/>
                <w:noProof/>
                <w:webHidden/>
              </w:rPr>
              <w:t>2</w:t>
            </w:r>
            <w:r w:rsidRPr="00A34C3B">
              <w:rPr>
                <w:rFonts w:ascii="Calibri" w:hAnsi="Calibri" w:cs="Calibri"/>
                <w:noProof/>
                <w:webHidden/>
              </w:rPr>
              <w:fldChar w:fldCharType="end"/>
            </w:r>
          </w:hyperlink>
        </w:p>
        <w:p w:rsidR="00A34C3B" w:rsidRPr="00A34C3B" w:rsidRDefault="009C38DC">
          <w:pPr>
            <w:pStyle w:val="TOC1"/>
            <w:tabs>
              <w:tab w:val="left" w:pos="440"/>
              <w:tab w:val="right" w:leader="dot" w:pos="10194"/>
            </w:tabs>
            <w:rPr>
              <w:rFonts w:ascii="Calibri" w:hAnsi="Calibri" w:cs="Calibri"/>
              <w:noProof/>
              <w:lang w:val="en-IE" w:eastAsia="en-IE"/>
            </w:rPr>
          </w:pPr>
          <w:hyperlink w:anchor="_Toc4162925" w:history="1">
            <w:r w:rsidR="00A34C3B" w:rsidRPr="00A34C3B">
              <w:rPr>
                <w:rStyle w:val="Hyperlink"/>
                <w:rFonts w:ascii="Calibri" w:hAnsi="Calibri" w:cs="Calibri"/>
                <w:noProof/>
              </w:rPr>
              <w:t>2</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Principles</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_Toc4162925 \h </w:instrText>
            </w:r>
            <w:r w:rsidRPr="00A34C3B">
              <w:rPr>
                <w:rFonts w:ascii="Calibri" w:hAnsi="Calibri" w:cs="Calibri"/>
                <w:noProof/>
                <w:webHidden/>
              </w:rPr>
            </w:r>
            <w:r w:rsidRPr="00A34C3B">
              <w:rPr>
                <w:rFonts w:ascii="Calibri" w:hAnsi="Calibri" w:cs="Calibri"/>
                <w:noProof/>
                <w:webHidden/>
              </w:rPr>
              <w:fldChar w:fldCharType="separate"/>
            </w:r>
            <w:r w:rsidR="002D438E">
              <w:rPr>
                <w:rFonts w:ascii="Calibri" w:hAnsi="Calibri" w:cs="Calibri"/>
                <w:noProof/>
                <w:webHidden/>
              </w:rPr>
              <w:t>2</w:t>
            </w:r>
            <w:r w:rsidRPr="00A34C3B">
              <w:rPr>
                <w:rFonts w:ascii="Calibri" w:hAnsi="Calibri" w:cs="Calibri"/>
                <w:noProof/>
                <w:webHidden/>
              </w:rPr>
              <w:fldChar w:fldCharType="end"/>
            </w:r>
          </w:hyperlink>
        </w:p>
        <w:p w:rsidR="00A34C3B" w:rsidRPr="00A34C3B" w:rsidRDefault="009C38DC">
          <w:pPr>
            <w:pStyle w:val="TOC1"/>
            <w:tabs>
              <w:tab w:val="left" w:pos="440"/>
              <w:tab w:val="right" w:leader="dot" w:pos="10194"/>
            </w:tabs>
            <w:rPr>
              <w:rFonts w:ascii="Calibri" w:hAnsi="Calibri" w:cs="Calibri"/>
              <w:noProof/>
              <w:lang w:val="en-IE" w:eastAsia="en-IE"/>
            </w:rPr>
          </w:pPr>
          <w:hyperlink w:anchor="_Toc4162926" w:history="1">
            <w:r w:rsidR="00A34C3B" w:rsidRPr="00A34C3B">
              <w:rPr>
                <w:rStyle w:val="Hyperlink"/>
                <w:rFonts w:ascii="Calibri" w:hAnsi="Calibri" w:cs="Calibri"/>
                <w:noProof/>
              </w:rPr>
              <w:t>3</w:t>
            </w:r>
            <w:r w:rsidR="00A34C3B" w:rsidRPr="00A34C3B">
              <w:rPr>
                <w:rFonts w:ascii="Calibri" w:hAnsi="Calibri" w:cs="Calibri"/>
                <w:noProof/>
                <w:lang w:val="en-IE" w:eastAsia="en-IE"/>
              </w:rPr>
              <w:tab/>
            </w:r>
            <w:r w:rsidR="00A34C3B" w:rsidRPr="00A34C3B">
              <w:rPr>
                <w:rStyle w:val="Hyperlink"/>
                <w:rFonts w:ascii="Calibri" w:hAnsi="Calibri" w:cs="Calibri"/>
                <w:noProof/>
              </w:rPr>
              <w:t>Lawful Basis for Processing Personal Data</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_Toc4162926 \h </w:instrText>
            </w:r>
            <w:r w:rsidRPr="00A34C3B">
              <w:rPr>
                <w:rFonts w:ascii="Calibri" w:hAnsi="Calibri" w:cs="Calibri"/>
                <w:noProof/>
                <w:webHidden/>
              </w:rPr>
            </w:r>
            <w:r w:rsidRPr="00A34C3B">
              <w:rPr>
                <w:rFonts w:ascii="Calibri" w:hAnsi="Calibri" w:cs="Calibri"/>
                <w:noProof/>
                <w:webHidden/>
              </w:rPr>
              <w:fldChar w:fldCharType="separate"/>
            </w:r>
            <w:r w:rsidR="002D438E">
              <w:rPr>
                <w:rFonts w:ascii="Calibri" w:hAnsi="Calibri" w:cs="Calibri"/>
                <w:noProof/>
                <w:webHidden/>
              </w:rPr>
              <w:t>3</w:t>
            </w:r>
            <w:r w:rsidRPr="00A34C3B">
              <w:rPr>
                <w:rFonts w:ascii="Calibri" w:hAnsi="Calibri" w:cs="Calibri"/>
                <w:noProof/>
                <w:webHidden/>
              </w:rPr>
              <w:fldChar w:fldCharType="end"/>
            </w:r>
          </w:hyperlink>
        </w:p>
        <w:p w:rsidR="00A34C3B" w:rsidRPr="00A34C3B" w:rsidRDefault="009C38DC">
          <w:pPr>
            <w:pStyle w:val="TOC1"/>
            <w:tabs>
              <w:tab w:val="left" w:pos="440"/>
              <w:tab w:val="right" w:leader="dot" w:pos="10194"/>
            </w:tabs>
            <w:rPr>
              <w:rFonts w:ascii="Calibri" w:hAnsi="Calibri" w:cs="Calibri"/>
              <w:noProof/>
              <w:lang w:val="en-IE" w:eastAsia="en-IE"/>
            </w:rPr>
          </w:pPr>
          <w:hyperlink w:anchor="_Toc4162927" w:history="1">
            <w:r w:rsidR="00A34C3B" w:rsidRPr="00A34C3B">
              <w:rPr>
                <w:rStyle w:val="Hyperlink"/>
                <w:rFonts w:ascii="Calibri" w:hAnsi="Calibri" w:cs="Calibri"/>
                <w:noProof/>
              </w:rPr>
              <w:t>4</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Activities Undertaken by the School</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_Toc4162927 \h </w:instrText>
            </w:r>
            <w:r w:rsidRPr="00A34C3B">
              <w:rPr>
                <w:rFonts w:ascii="Calibri" w:hAnsi="Calibri" w:cs="Calibri"/>
                <w:noProof/>
                <w:webHidden/>
              </w:rPr>
            </w:r>
            <w:r w:rsidRPr="00A34C3B">
              <w:rPr>
                <w:rFonts w:ascii="Calibri" w:hAnsi="Calibri" w:cs="Calibri"/>
                <w:noProof/>
                <w:webHidden/>
              </w:rPr>
              <w:fldChar w:fldCharType="separate"/>
            </w:r>
            <w:r w:rsidR="002D438E">
              <w:rPr>
                <w:rFonts w:ascii="Calibri" w:hAnsi="Calibri" w:cs="Calibri"/>
                <w:noProof/>
                <w:webHidden/>
              </w:rPr>
              <w:t>4</w:t>
            </w:r>
            <w:r w:rsidRPr="00A34C3B">
              <w:rPr>
                <w:rFonts w:ascii="Calibri" w:hAnsi="Calibri" w:cs="Calibri"/>
                <w:noProof/>
                <w:webHidden/>
              </w:rPr>
              <w:fldChar w:fldCharType="end"/>
            </w:r>
          </w:hyperlink>
        </w:p>
        <w:p w:rsidR="00A34C3B" w:rsidRPr="00A34C3B" w:rsidRDefault="009C38DC">
          <w:pPr>
            <w:pStyle w:val="TOC1"/>
            <w:tabs>
              <w:tab w:val="left" w:pos="440"/>
              <w:tab w:val="right" w:leader="dot" w:pos="10194"/>
            </w:tabs>
            <w:rPr>
              <w:rFonts w:ascii="Calibri" w:hAnsi="Calibri" w:cs="Calibri"/>
              <w:noProof/>
              <w:lang w:val="en-IE" w:eastAsia="en-IE"/>
            </w:rPr>
          </w:pPr>
          <w:hyperlink w:anchor="_Toc4162928" w:history="1">
            <w:r w:rsidR="00A34C3B" w:rsidRPr="00A34C3B">
              <w:rPr>
                <w:rStyle w:val="Hyperlink"/>
                <w:rFonts w:ascii="Calibri" w:hAnsi="Calibri" w:cs="Calibri"/>
                <w:noProof/>
              </w:rPr>
              <w:t>5</w:t>
            </w:r>
            <w:r w:rsidR="00A34C3B" w:rsidRPr="00A34C3B">
              <w:rPr>
                <w:rFonts w:ascii="Calibri" w:hAnsi="Calibri" w:cs="Calibri"/>
                <w:noProof/>
                <w:lang w:val="en-IE" w:eastAsia="en-IE"/>
              </w:rPr>
              <w:tab/>
            </w:r>
            <w:r w:rsidR="00A34C3B" w:rsidRPr="00A34C3B">
              <w:rPr>
                <w:rStyle w:val="Hyperlink"/>
                <w:rFonts w:ascii="Calibri" w:hAnsi="Calibri" w:cs="Calibri"/>
                <w:noProof/>
              </w:rPr>
              <w:t>Recipients</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_Toc4162928 \h </w:instrText>
            </w:r>
            <w:r w:rsidRPr="00A34C3B">
              <w:rPr>
                <w:rFonts w:ascii="Calibri" w:hAnsi="Calibri" w:cs="Calibri"/>
                <w:noProof/>
                <w:webHidden/>
              </w:rPr>
            </w:r>
            <w:r w:rsidRPr="00A34C3B">
              <w:rPr>
                <w:rFonts w:ascii="Calibri" w:hAnsi="Calibri" w:cs="Calibri"/>
                <w:noProof/>
                <w:webHidden/>
              </w:rPr>
              <w:fldChar w:fldCharType="separate"/>
            </w:r>
            <w:r w:rsidR="002D438E">
              <w:rPr>
                <w:rFonts w:ascii="Calibri" w:hAnsi="Calibri" w:cs="Calibri"/>
                <w:noProof/>
                <w:webHidden/>
              </w:rPr>
              <w:t>5</w:t>
            </w:r>
            <w:r w:rsidRPr="00A34C3B">
              <w:rPr>
                <w:rFonts w:ascii="Calibri" w:hAnsi="Calibri" w:cs="Calibri"/>
                <w:noProof/>
                <w:webHidden/>
              </w:rPr>
              <w:fldChar w:fldCharType="end"/>
            </w:r>
          </w:hyperlink>
        </w:p>
        <w:p w:rsidR="00A34C3B" w:rsidRPr="00A34C3B" w:rsidRDefault="009C38DC">
          <w:pPr>
            <w:pStyle w:val="TOC1"/>
            <w:tabs>
              <w:tab w:val="left" w:pos="440"/>
              <w:tab w:val="right" w:leader="dot" w:pos="10194"/>
            </w:tabs>
            <w:rPr>
              <w:rFonts w:ascii="Calibri" w:hAnsi="Calibri" w:cs="Calibri"/>
              <w:noProof/>
              <w:lang w:val="en-IE" w:eastAsia="en-IE"/>
            </w:rPr>
          </w:pPr>
          <w:hyperlink w:anchor="_Toc4162929" w:history="1">
            <w:r w:rsidR="00A34C3B" w:rsidRPr="00A34C3B">
              <w:rPr>
                <w:rStyle w:val="Hyperlink"/>
                <w:rFonts w:ascii="Calibri" w:hAnsi="Calibri" w:cs="Calibri"/>
                <w:noProof/>
              </w:rPr>
              <w:t>6</w:t>
            </w:r>
            <w:r w:rsidR="00A34C3B" w:rsidRPr="00A34C3B">
              <w:rPr>
                <w:rFonts w:ascii="Calibri" w:hAnsi="Calibri" w:cs="Calibri"/>
                <w:noProof/>
                <w:lang w:val="en-IE" w:eastAsia="en-IE"/>
              </w:rPr>
              <w:tab/>
            </w:r>
            <w:r w:rsidR="00A34C3B" w:rsidRPr="00A34C3B">
              <w:rPr>
                <w:rStyle w:val="Hyperlink"/>
                <w:rFonts w:ascii="Calibri" w:hAnsi="Calibri" w:cs="Calibri"/>
                <w:noProof/>
              </w:rPr>
              <w:t>Personal Data Breaches</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_Toc4162929 \h </w:instrText>
            </w:r>
            <w:r w:rsidRPr="00A34C3B">
              <w:rPr>
                <w:rFonts w:ascii="Calibri" w:hAnsi="Calibri" w:cs="Calibri"/>
                <w:noProof/>
                <w:webHidden/>
              </w:rPr>
            </w:r>
            <w:r w:rsidRPr="00A34C3B">
              <w:rPr>
                <w:rFonts w:ascii="Calibri" w:hAnsi="Calibri" w:cs="Calibri"/>
                <w:noProof/>
                <w:webHidden/>
              </w:rPr>
              <w:fldChar w:fldCharType="separate"/>
            </w:r>
            <w:r w:rsidR="002D438E">
              <w:rPr>
                <w:rFonts w:ascii="Calibri" w:hAnsi="Calibri" w:cs="Calibri"/>
                <w:noProof/>
                <w:webHidden/>
              </w:rPr>
              <w:t>6</w:t>
            </w:r>
            <w:r w:rsidRPr="00A34C3B">
              <w:rPr>
                <w:rFonts w:ascii="Calibri" w:hAnsi="Calibri" w:cs="Calibri"/>
                <w:noProof/>
                <w:webHidden/>
              </w:rPr>
              <w:fldChar w:fldCharType="end"/>
            </w:r>
          </w:hyperlink>
        </w:p>
        <w:p w:rsidR="00A34C3B" w:rsidRPr="00A34C3B" w:rsidRDefault="009C38DC">
          <w:pPr>
            <w:pStyle w:val="TOC1"/>
            <w:tabs>
              <w:tab w:val="left" w:pos="440"/>
              <w:tab w:val="right" w:leader="dot" w:pos="10194"/>
            </w:tabs>
            <w:rPr>
              <w:rFonts w:ascii="Calibri" w:hAnsi="Calibri" w:cs="Calibri"/>
              <w:noProof/>
              <w:lang w:val="en-IE" w:eastAsia="en-IE"/>
            </w:rPr>
          </w:pPr>
          <w:hyperlink w:anchor="_Toc4162930" w:history="1">
            <w:r w:rsidR="00A34C3B" w:rsidRPr="00A34C3B">
              <w:rPr>
                <w:rStyle w:val="Hyperlink"/>
                <w:rFonts w:ascii="Calibri" w:hAnsi="Calibri" w:cs="Calibri"/>
                <w:noProof/>
              </w:rPr>
              <w:t>7</w:t>
            </w:r>
            <w:r w:rsidR="00A34C3B" w:rsidRPr="00A34C3B">
              <w:rPr>
                <w:rFonts w:ascii="Calibri" w:hAnsi="Calibri" w:cs="Calibri"/>
                <w:noProof/>
                <w:lang w:val="en-IE" w:eastAsia="en-IE"/>
              </w:rPr>
              <w:tab/>
            </w:r>
            <w:r w:rsidR="00A34C3B" w:rsidRPr="00A34C3B">
              <w:rPr>
                <w:rStyle w:val="Hyperlink"/>
                <w:rFonts w:ascii="Calibri" w:hAnsi="Calibri" w:cs="Calibri"/>
                <w:noProof/>
              </w:rPr>
              <w:t>Data Subject Rights</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_Toc4162930 \h </w:instrText>
            </w:r>
            <w:r w:rsidRPr="00A34C3B">
              <w:rPr>
                <w:rFonts w:ascii="Calibri" w:hAnsi="Calibri" w:cs="Calibri"/>
                <w:noProof/>
                <w:webHidden/>
              </w:rPr>
            </w:r>
            <w:r w:rsidRPr="00A34C3B">
              <w:rPr>
                <w:rFonts w:ascii="Calibri" w:hAnsi="Calibri" w:cs="Calibri"/>
                <w:noProof/>
                <w:webHidden/>
              </w:rPr>
              <w:fldChar w:fldCharType="separate"/>
            </w:r>
            <w:r w:rsidR="002D438E">
              <w:rPr>
                <w:rFonts w:ascii="Calibri" w:hAnsi="Calibri" w:cs="Calibri"/>
                <w:noProof/>
                <w:webHidden/>
              </w:rPr>
              <w:t>6</w:t>
            </w:r>
            <w:r w:rsidRPr="00A34C3B">
              <w:rPr>
                <w:rFonts w:ascii="Calibri" w:hAnsi="Calibri" w:cs="Calibri"/>
                <w:noProof/>
                <w:webHidden/>
              </w:rPr>
              <w:fldChar w:fldCharType="end"/>
            </w:r>
          </w:hyperlink>
        </w:p>
        <w:p w:rsidR="00A34C3B" w:rsidRPr="00A34C3B" w:rsidRDefault="009C38DC">
          <w:pPr>
            <w:pStyle w:val="TOC2"/>
            <w:tabs>
              <w:tab w:val="left" w:pos="1760"/>
              <w:tab w:val="right" w:leader="dot" w:pos="10194"/>
            </w:tabs>
            <w:rPr>
              <w:rFonts w:ascii="Calibri" w:eastAsiaTheme="minorEastAsia" w:hAnsi="Calibri" w:cs="Calibri"/>
              <w:noProof/>
              <w:sz w:val="22"/>
              <w:szCs w:val="22"/>
              <w:lang w:val="en-IE" w:eastAsia="en-IE"/>
            </w:rPr>
          </w:pPr>
          <w:hyperlink w:anchor="_Toc4162931" w:history="1">
            <w:r w:rsidR="00A34C3B" w:rsidRPr="00A34C3B">
              <w:rPr>
                <w:rStyle w:val="Hyperlink"/>
                <w:rFonts w:ascii="Calibri" w:hAnsi="Calibri" w:cs="Calibri"/>
                <w:noProof/>
                <w:sz w:val="22"/>
                <w:szCs w:val="22"/>
              </w:rPr>
              <w:t>Appendix 1.</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Glossary</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_Toc4162931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2D438E">
              <w:rPr>
                <w:rFonts w:ascii="Calibri" w:hAnsi="Calibri" w:cs="Calibri"/>
                <w:noProof/>
                <w:webHidden/>
                <w:sz w:val="22"/>
                <w:szCs w:val="22"/>
              </w:rPr>
              <w:t>9</w:t>
            </w:r>
            <w:r w:rsidRPr="00A34C3B">
              <w:rPr>
                <w:rFonts w:ascii="Calibri" w:hAnsi="Calibri" w:cs="Calibri"/>
                <w:noProof/>
                <w:webHidden/>
                <w:sz w:val="22"/>
                <w:szCs w:val="22"/>
              </w:rPr>
              <w:fldChar w:fldCharType="end"/>
            </w:r>
          </w:hyperlink>
        </w:p>
        <w:p w:rsidR="00A34C3B" w:rsidRPr="00A34C3B" w:rsidRDefault="009C38DC">
          <w:pPr>
            <w:pStyle w:val="TOC2"/>
            <w:tabs>
              <w:tab w:val="left" w:pos="1760"/>
              <w:tab w:val="right" w:leader="dot" w:pos="10194"/>
            </w:tabs>
            <w:rPr>
              <w:rFonts w:ascii="Calibri" w:eastAsiaTheme="minorEastAsia" w:hAnsi="Calibri" w:cs="Calibri"/>
              <w:noProof/>
              <w:sz w:val="22"/>
              <w:szCs w:val="22"/>
              <w:lang w:val="en-IE" w:eastAsia="en-IE"/>
            </w:rPr>
          </w:pPr>
          <w:hyperlink w:anchor="_Toc4162932" w:history="1">
            <w:r w:rsidR="00A34C3B" w:rsidRPr="00A34C3B">
              <w:rPr>
                <w:rStyle w:val="Hyperlink"/>
                <w:rFonts w:ascii="Calibri" w:hAnsi="Calibri" w:cs="Calibri"/>
                <w:noProof/>
                <w:sz w:val="22"/>
                <w:szCs w:val="22"/>
              </w:rPr>
              <w:t>Appendix 2.</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Implementing the Data Processing Principles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_Toc4162932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2D438E">
              <w:rPr>
                <w:rFonts w:ascii="Calibri" w:hAnsi="Calibri" w:cs="Calibri"/>
                <w:noProof/>
                <w:webHidden/>
                <w:sz w:val="22"/>
                <w:szCs w:val="22"/>
              </w:rPr>
              <w:t>10</w:t>
            </w:r>
            <w:r w:rsidRPr="00A34C3B">
              <w:rPr>
                <w:rFonts w:ascii="Calibri" w:hAnsi="Calibri" w:cs="Calibri"/>
                <w:noProof/>
                <w:webHidden/>
                <w:sz w:val="22"/>
                <w:szCs w:val="22"/>
              </w:rPr>
              <w:fldChar w:fldCharType="end"/>
            </w:r>
          </w:hyperlink>
        </w:p>
        <w:p w:rsidR="00A34C3B" w:rsidRPr="00A34C3B" w:rsidRDefault="009C38DC">
          <w:pPr>
            <w:pStyle w:val="TOC2"/>
            <w:tabs>
              <w:tab w:val="left" w:pos="1760"/>
              <w:tab w:val="right" w:leader="dot" w:pos="10194"/>
            </w:tabs>
            <w:rPr>
              <w:rFonts w:ascii="Calibri" w:eastAsiaTheme="minorEastAsia" w:hAnsi="Calibri" w:cs="Calibri"/>
              <w:noProof/>
              <w:sz w:val="22"/>
              <w:szCs w:val="22"/>
              <w:lang w:val="en-IE" w:eastAsia="en-IE"/>
            </w:rPr>
          </w:pPr>
          <w:hyperlink w:anchor="_Toc4162942" w:history="1">
            <w:r w:rsidR="00A34C3B" w:rsidRPr="00A34C3B">
              <w:rPr>
                <w:rStyle w:val="Hyperlink"/>
                <w:rFonts w:ascii="Calibri" w:hAnsi="Calibri" w:cs="Calibri"/>
                <w:noProof/>
                <w:sz w:val="22"/>
                <w:szCs w:val="22"/>
              </w:rPr>
              <w:t>Appendix 3.</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Categories of Recipients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_Toc4162942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2D438E">
              <w:rPr>
                <w:rFonts w:ascii="Calibri" w:hAnsi="Calibri" w:cs="Calibri"/>
                <w:noProof/>
                <w:webHidden/>
                <w:sz w:val="22"/>
                <w:szCs w:val="22"/>
              </w:rPr>
              <w:t>16</w:t>
            </w:r>
            <w:r w:rsidRPr="00A34C3B">
              <w:rPr>
                <w:rFonts w:ascii="Calibri" w:hAnsi="Calibri" w:cs="Calibri"/>
                <w:noProof/>
                <w:webHidden/>
                <w:sz w:val="22"/>
                <w:szCs w:val="22"/>
              </w:rPr>
              <w:fldChar w:fldCharType="end"/>
            </w:r>
          </w:hyperlink>
        </w:p>
        <w:p w:rsidR="00A34C3B" w:rsidRPr="00A34C3B" w:rsidRDefault="009C38DC">
          <w:pPr>
            <w:pStyle w:val="TOC2"/>
            <w:tabs>
              <w:tab w:val="left" w:pos="1760"/>
              <w:tab w:val="right" w:leader="dot" w:pos="10194"/>
            </w:tabs>
            <w:rPr>
              <w:rFonts w:ascii="Calibri" w:eastAsiaTheme="minorEastAsia" w:hAnsi="Calibri" w:cs="Calibri"/>
              <w:noProof/>
              <w:sz w:val="22"/>
              <w:szCs w:val="22"/>
              <w:lang w:val="en-IE" w:eastAsia="en-IE"/>
            </w:rPr>
          </w:pPr>
          <w:hyperlink w:anchor="_Toc4162943" w:history="1">
            <w:r w:rsidR="00A34C3B" w:rsidRPr="00A34C3B">
              <w:rPr>
                <w:rStyle w:val="Hyperlink"/>
                <w:rFonts w:ascii="Calibri" w:hAnsi="Calibri" w:cs="Calibri"/>
                <w:noProof/>
                <w:sz w:val="22"/>
                <w:szCs w:val="22"/>
              </w:rPr>
              <w:t>Appendix 4.</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Managing Rights Requests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_Toc4162943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2D438E">
              <w:rPr>
                <w:rFonts w:ascii="Calibri" w:hAnsi="Calibri" w:cs="Calibri"/>
                <w:noProof/>
                <w:webHidden/>
                <w:sz w:val="22"/>
                <w:szCs w:val="22"/>
              </w:rPr>
              <w:t>18</w:t>
            </w:r>
            <w:r w:rsidRPr="00A34C3B">
              <w:rPr>
                <w:rFonts w:ascii="Calibri" w:hAnsi="Calibri" w:cs="Calibri"/>
                <w:noProof/>
                <w:webHidden/>
                <w:sz w:val="22"/>
                <w:szCs w:val="22"/>
              </w:rPr>
              <w:fldChar w:fldCharType="end"/>
            </w:r>
          </w:hyperlink>
        </w:p>
        <w:p w:rsidR="00A34C3B" w:rsidRPr="00A34C3B" w:rsidRDefault="009C38DC">
          <w:pPr>
            <w:pStyle w:val="TOC2"/>
            <w:tabs>
              <w:tab w:val="left" w:pos="1760"/>
              <w:tab w:val="right" w:leader="dot" w:pos="10194"/>
            </w:tabs>
            <w:rPr>
              <w:rFonts w:ascii="Calibri" w:eastAsiaTheme="minorEastAsia" w:hAnsi="Calibri" w:cs="Calibri"/>
              <w:noProof/>
              <w:sz w:val="22"/>
              <w:szCs w:val="22"/>
              <w:lang w:val="en-IE" w:eastAsia="en-IE"/>
            </w:rPr>
          </w:pPr>
          <w:hyperlink w:anchor="_Toc4162946" w:history="1">
            <w:r w:rsidR="00A34C3B" w:rsidRPr="00A34C3B">
              <w:rPr>
                <w:rStyle w:val="Hyperlink"/>
                <w:rFonts w:ascii="Calibri" w:hAnsi="Calibri" w:cs="Calibri"/>
                <w:noProof/>
                <w:sz w:val="22"/>
                <w:szCs w:val="22"/>
              </w:rPr>
              <w:t>Appendix 5.</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Personal Data and related Processing Purposes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_Toc4162946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2D438E">
              <w:rPr>
                <w:rFonts w:ascii="Calibri" w:hAnsi="Calibri" w:cs="Calibri"/>
                <w:noProof/>
                <w:webHidden/>
                <w:sz w:val="22"/>
                <w:szCs w:val="22"/>
              </w:rPr>
              <w:t>20</w:t>
            </w:r>
            <w:r w:rsidRPr="00A34C3B">
              <w:rPr>
                <w:rFonts w:ascii="Calibri" w:hAnsi="Calibri" w:cs="Calibri"/>
                <w:noProof/>
                <w:webHidden/>
                <w:sz w:val="22"/>
                <w:szCs w:val="22"/>
              </w:rPr>
              <w:fldChar w:fldCharType="end"/>
            </w:r>
          </w:hyperlink>
        </w:p>
        <w:p w:rsidR="00A34C3B" w:rsidRPr="00A34C3B" w:rsidRDefault="009C38DC">
          <w:pPr>
            <w:pStyle w:val="TOC2"/>
            <w:tabs>
              <w:tab w:val="left" w:pos="1760"/>
              <w:tab w:val="right" w:leader="dot" w:pos="10194"/>
            </w:tabs>
            <w:rPr>
              <w:rFonts w:ascii="Calibri" w:eastAsiaTheme="minorEastAsia" w:hAnsi="Calibri" w:cs="Calibri"/>
              <w:noProof/>
              <w:sz w:val="22"/>
              <w:szCs w:val="22"/>
              <w:lang w:val="en-IE" w:eastAsia="en-IE"/>
            </w:rPr>
          </w:pPr>
          <w:hyperlink w:anchor="_Toc4162947" w:history="1">
            <w:r w:rsidR="00A34C3B" w:rsidRPr="00A34C3B">
              <w:rPr>
                <w:rStyle w:val="Hyperlink"/>
                <w:rFonts w:ascii="Calibri" w:hAnsi="Calibri" w:cs="Calibri"/>
                <w:noProof/>
                <w:sz w:val="22"/>
                <w:szCs w:val="22"/>
              </w:rPr>
              <w:t>Appendix 6.</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Reference sites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_Toc4162947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2D438E">
              <w:rPr>
                <w:rFonts w:ascii="Calibri" w:hAnsi="Calibri" w:cs="Calibri"/>
                <w:noProof/>
                <w:webHidden/>
                <w:sz w:val="22"/>
                <w:szCs w:val="22"/>
              </w:rPr>
              <w:t>24</w:t>
            </w:r>
            <w:r w:rsidRPr="00A34C3B">
              <w:rPr>
                <w:rFonts w:ascii="Calibri" w:hAnsi="Calibri" w:cs="Calibri"/>
                <w:noProof/>
                <w:webHidden/>
                <w:sz w:val="22"/>
                <w:szCs w:val="22"/>
              </w:rPr>
              <w:fldChar w:fldCharType="end"/>
            </w:r>
          </w:hyperlink>
        </w:p>
        <w:p w:rsidR="00122F7B" w:rsidRDefault="009C38DC">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rsidR="001020A8" w:rsidRPr="001020A8" w:rsidRDefault="00985D84" w:rsidP="001020A8">
      <w:pPr>
        <w:pStyle w:val="Heading1"/>
      </w:pPr>
      <w:bookmarkStart w:id="0" w:name="_Toc4162924"/>
      <w:r w:rsidRPr="001020A8">
        <w:lastRenderedPageBreak/>
        <w:t>Purpose</w:t>
      </w:r>
      <w:r w:rsidR="000406C9">
        <w:t xml:space="preserve"> and</w:t>
      </w:r>
      <w:r w:rsidRPr="001020A8">
        <w:t xml:space="preserve"> Scope</w:t>
      </w:r>
      <w:bookmarkEnd w:id="0"/>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2"/>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 xml:space="preserve">mannerthat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2" w:name="_Toc4162925"/>
      <w:r w:rsidRPr="00A87A08">
        <w:t>Processing Principles</w:t>
      </w:r>
      <w:bookmarkEnd w:id="2"/>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e.g.</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w:t>
      </w:r>
      <w:r w:rsidR="00E846AC" w:rsidRPr="00A87A08">
        <w:rPr>
          <w:rFonts w:ascii="Calibri" w:hAnsi="Calibri" w:cs="Calibri"/>
          <w:color w:val="000000"/>
          <w:sz w:val="22"/>
          <w:lang w:eastAsia="en-GB"/>
        </w:rPr>
        <w:t>day-to-day</w:t>
      </w:r>
      <w:r w:rsidR="00102C79" w:rsidRPr="00A87A08">
        <w:rPr>
          <w:rFonts w:ascii="Calibri" w:hAnsi="Calibri" w:cs="Calibri"/>
          <w:color w:val="000000"/>
          <w:sz w:val="22"/>
          <w:lang w:eastAsia="en-GB"/>
        </w:rPr>
        <w:t xml:space="preserve">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3"/>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3" w:name="_Toc4162926"/>
      <w:r w:rsidRPr="00A87A08">
        <w:t>Lawful Basis for Processing Personal Data</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4"/>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4" w:name="_Toc4162927"/>
      <w:r w:rsidRPr="00A87A08">
        <w:lastRenderedPageBreak/>
        <w:t>Processing Activities Undertaken by the School</w:t>
      </w:r>
      <w:bookmarkEnd w:id="4"/>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policysets out the purposes for which the school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5"/>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furnish documentation/ information about the student to the Department of Education and Skills,</w:t>
      </w:r>
      <w:r w:rsidR="001D00E8" w:rsidRPr="00A87A08">
        <w:rPr>
          <w:rFonts w:ascii="Calibri" w:eastAsia="Calibri" w:hAnsi="Calibri" w:cs="Calibri"/>
          <w:sz w:val="22"/>
          <w:szCs w:val="20"/>
          <w:lang w:eastAsia="en-US"/>
        </w:rPr>
        <w:t xml:space="preserve">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lastRenderedPageBreak/>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discussed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processespersonal data</w:t>
      </w:r>
      <w:r w:rsidRPr="00A87A08">
        <w:rPr>
          <w:rFonts w:ascii="Calibri" w:hAnsi="Calibri" w:cs="Calibri"/>
          <w:sz w:val="22"/>
          <w:szCs w:val="20"/>
        </w:rPr>
        <w:t xml:space="preserve"> in the form of recorded CCTV images.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DA1D2D" w:rsidRPr="00A87A08" w:rsidRDefault="00DA1D2D" w:rsidP="001020A8">
      <w:pPr>
        <w:pStyle w:val="Heading1"/>
        <w:ind w:left="431" w:hanging="431"/>
      </w:pPr>
      <w:bookmarkStart w:id="5" w:name="_Toc4162928"/>
      <w:r w:rsidRPr="00A87A08">
        <w:t>Recipients</w:t>
      </w:r>
      <w:bookmarkEnd w:id="5"/>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 xml:space="preserve">(GDPR Articles 6,9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 xml:space="preserve">willnot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6"/>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6" w:name="_Toc4162929"/>
      <w:r w:rsidRPr="00A87A08">
        <w:lastRenderedPageBreak/>
        <w:t>Personal Data Breach</w:t>
      </w:r>
      <w:r w:rsidR="006451C1" w:rsidRPr="00A87A08">
        <w:t>es</w:t>
      </w:r>
      <w:bookmarkEnd w:id="6"/>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w:t>
      </w:r>
      <w:r w:rsidR="00874D5E">
        <w:rPr>
          <w:rFonts w:ascii="Calibri" w:hAnsi="Calibri" w:cs="Calibri"/>
          <w:sz w:val="22"/>
          <w:szCs w:val="22"/>
        </w:rPr>
        <w:t>,</w:t>
      </w:r>
      <w:r w:rsidR="004F0B0D">
        <w:rPr>
          <w:rFonts w:ascii="Calibri" w:hAnsi="Calibri" w:cs="Calibri"/>
          <w:sz w:val="22"/>
          <w:szCs w:val="22"/>
        </w:rPr>
        <w:t xml:space="preserve"> because of their age</w:t>
      </w:r>
      <w:r w:rsidR="00874D5E">
        <w:rPr>
          <w:rFonts w:ascii="Calibri" w:hAnsi="Calibri" w:cs="Calibri"/>
          <w:sz w:val="22"/>
          <w:szCs w:val="22"/>
        </w:rPr>
        <w:t>,</w:t>
      </w:r>
      <w:r w:rsidR="004F0B0D">
        <w:rPr>
          <w:rFonts w:ascii="Calibri" w:hAnsi="Calibri" w:cs="Calibri"/>
          <w:sz w:val="22"/>
          <w:szCs w:val="22"/>
        </w:rPr>
        <w:t xml:space="preserv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874D5E">
        <w:rPr>
          <w:rFonts w:ascii="Calibri" w:hAnsi="Calibri" w:cs="Calibri"/>
          <w:sz w:val="22"/>
          <w:szCs w:val="22"/>
        </w:rPr>
        <w:t>,</w:t>
      </w:r>
      <w:r w:rsidR="000828F0">
        <w:rPr>
          <w:rFonts w:ascii="Calibri" w:hAnsi="Calibri" w:cs="Calibri"/>
          <w:sz w:val="22"/>
          <w:szCs w:val="22"/>
        </w:rPr>
        <w:t xml:space="preserve"> including civil litigation.</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7"/>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7" w:name="_Toc4162930"/>
      <w:r w:rsidRPr="00A87A08">
        <w:t>Data Subject Rights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8"/>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8" w:name="_Hlk3994239"/>
      <w:r>
        <w:rPr>
          <w:rFonts w:ascii="Calibri" w:hAnsi="Calibri" w:cs="Calibri"/>
          <w:color w:val="000000"/>
          <w:sz w:val="22"/>
          <w:lang w:eastAsia="en-GB"/>
        </w:rPr>
        <w:t xml:space="preserve">right not to be subject to automated decision making </w:t>
      </w:r>
      <w:bookmarkEnd w:id="8"/>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lastRenderedPageBreak/>
        <w:t>Right of Access</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 xml:space="preserve">The school will act on such a requestproviding that there isnocompelling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00E568D4" w:rsidRPr="00A87A08">
        <w:rPr>
          <w:rFonts w:ascii="Calibri" w:hAnsi="Calibri" w:cs="Calibri"/>
          <w:sz w:val="22"/>
          <w:szCs w:val="20"/>
        </w:rPr>
        <w:t xml:space="preserve">In cases where </w:t>
      </w:r>
      <w:r w:rsidR="00E568D4">
        <w:rPr>
          <w:rFonts w:ascii="Calibri" w:hAnsi="Calibri" w:cs="Calibri"/>
          <w:sz w:val="22"/>
          <w:szCs w:val="20"/>
        </w:rPr>
        <w:t>the schoolis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facilitatetheexercise of</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9"/>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10"/>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636E55" w:rsidRPr="00A87A08" w:rsidRDefault="00636E55" w:rsidP="00811863">
      <w:pPr>
        <w:suppressAutoHyphens w:val="0"/>
        <w:spacing w:before="60"/>
        <w:ind w:left="1134"/>
        <w:jc w:val="both"/>
        <w:rPr>
          <w:rFonts w:ascii="Calibri" w:hAnsi="Calibri" w:cs="Calibri"/>
          <w:sz w:val="22"/>
          <w:szCs w:val="20"/>
        </w:rPr>
      </w:pP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Portarlington,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103833">
          <w:headerReference w:type="default" r:id="rId9"/>
          <w:footerReference w:type="default" r:id="rId10"/>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9" w:name="_Toc4162931"/>
      <w:bookmarkStart w:id="10" w:name="_Toc340498"/>
      <w:r>
        <w:lastRenderedPageBreak/>
        <w:t>Glossary</w:t>
      </w:r>
      <w:bookmarkEnd w:id="9"/>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731F40">
        <w:rPr>
          <w:rFonts w:ascii="Calibri" w:hAnsi="Calibri" w:cs="Calibri"/>
          <w:color w:val="000000"/>
          <w:sz w:val="22"/>
          <w:lang w:eastAsia="en-GB"/>
        </w:rPr>
        <w:t xml:space="preserve">In this policy, the data controller is the School.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color w:val="000000"/>
          <w:sz w:val="22"/>
          <w:lang w:eastAsia="en-GB"/>
        </w:rPr>
        <w:t>–</w:t>
      </w:r>
      <w:r w:rsidR="00B35C3F" w:rsidRPr="00B35C3F">
        <w:rPr>
          <w:rFonts w:ascii="Calibri" w:hAnsi="Calibri" w:cs="Calibri"/>
          <w:color w:val="000000"/>
          <w:sz w:val="22"/>
          <w:lang w:eastAsia="en-GB"/>
        </w:rPr>
        <w:t>this includes (i)</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B35C3F">
        <w:rPr>
          <w:rFonts w:ascii="Calibri" w:hAnsi="Calibri" w:cs="Calibri"/>
          <w:color w:val="000000"/>
          <w:sz w:val="22"/>
          <w:lang w:eastAsia="en-GB"/>
        </w:rPr>
        <w:t>GDPR</w:t>
      </w:r>
      <w:r w:rsidR="00F07114">
        <w:rPr>
          <w:rFonts w:ascii="Calibri" w:hAnsi="Calibri" w:cs="Calibri"/>
          <w:color w:val="000000"/>
          <w:sz w:val="22"/>
          <w:lang w:eastAsia="en-GB"/>
        </w:rPr>
        <w:t xml:space="preserve">is set out in 99separate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A73867">
        <w:rPr>
          <w:rFonts w:ascii="Calibri" w:hAnsi="Calibri" w:cs="Calibri"/>
          <w:color w:val="000000"/>
          <w:sz w:val="22"/>
          <w:lang w:eastAsia="en-GB"/>
        </w:rPr>
        <w:t>-</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1" w:name="_Toc4162932"/>
      <w:r w:rsidRPr="00F17C33">
        <w:lastRenderedPageBreak/>
        <w:t>Implementing</w:t>
      </w:r>
      <w:r w:rsidR="00B17210" w:rsidRPr="00F17C33">
        <w:t xml:space="preserve"> the Data Processing Principles</w:t>
      </w:r>
      <w:bookmarkEnd w:id="10"/>
      <w:bookmarkEnd w:id="11"/>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2" w:name="_Toc340499"/>
      <w:bookmarkStart w:id="13" w:name="_Toc341946"/>
      <w:bookmarkStart w:id="14" w:name="_Toc342257"/>
      <w:bookmarkStart w:id="15" w:name="_Toc777445"/>
      <w:bookmarkStart w:id="16" w:name="_Toc1556852"/>
      <w:bookmarkStart w:id="17" w:name="_Toc4162933"/>
      <w:r w:rsidRPr="000D3519">
        <w:rPr>
          <w:rFonts w:cstheme="majorHAnsi"/>
          <w:b/>
          <w:color w:val="auto"/>
          <w:sz w:val="24"/>
          <w:szCs w:val="24"/>
          <w:lang w:eastAsia="en-GB"/>
        </w:rPr>
        <w:t>Accountability</w:t>
      </w:r>
      <w:bookmarkEnd w:id="12"/>
      <w:bookmarkEnd w:id="13"/>
      <w:bookmarkEnd w:id="14"/>
      <w:bookmarkEnd w:id="15"/>
      <w:bookmarkEnd w:id="16"/>
      <w:bookmarkEnd w:id="17"/>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1"/>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025F17" w:rsidRPr="008A290E">
        <w:rPr>
          <w:rFonts w:ascii="Calibri" w:hAnsi="Calibri" w:cs="Calibri"/>
          <w:color w:val="000000"/>
          <w:sz w:val="22"/>
          <w:u w:val="single"/>
          <w:lang w:eastAsia="en-GB"/>
        </w:rPr>
        <w:t>Policies</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00783A83">
        <w:rPr>
          <w:rFonts w:ascii="Calibri" w:hAnsi="Calibri" w:cs="Calibri"/>
          <w:sz w:val="22"/>
          <w:szCs w:val="20"/>
        </w:rPr>
        <w:t xml:space="preserve">some or all of the following areas </w:t>
      </w:r>
      <w:r w:rsidRPr="008A290E">
        <w:rPr>
          <w:rFonts w:ascii="Calibri" w:hAnsi="Calibri" w:cs="Calibri"/>
          <w:sz w:val="22"/>
          <w:szCs w:val="20"/>
        </w:rPr>
        <w:t xml:space="preserve">(i)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2"/>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3"/>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sidR="00EA4334">
        <w:rPr>
          <w:rFonts w:ascii="Calibri" w:hAnsi="Calibri" w:cs="Calibri"/>
          <w:color w:val="000000"/>
          <w:sz w:val="22"/>
          <w:lang w:eastAsia="en-GB"/>
        </w:rPr>
        <w:t>A DPIA is a type of risk assessment that ismandatory in specific circumstances (GDPR Article 35)</w:t>
      </w:r>
      <w:r w:rsidR="00B8074A">
        <w:rPr>
          <w:rFonts w:ascii="Calibri" w:hAnsi="Calibri" w:cs="Calibri"/>
          <w:color w:val="000000"/>
          <w:sz w:val="22"/>
          <w:lang w:eastAsia="en-GB"/>
        </w:rPr>
        <w:t xml:space="preserve">. 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 xml:space="preserve">has the potential tohave a </w:t>
      </w:r>
      <w:r w:rsidR="00EA4334">
        <w:rPr>
          <w:rFonts w:ascii="Calibri" w:hAnsi="Calibri" w:cs="Calibri"/>
          <w:color w:val="000000"/>
          <w:sz w:val="22"/>
          <w:lang w:eastAsia="en-GB"/>
        </w:rPr>
        <w:t>high impact on individual privacy or rights.</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lastRenderedPageBreak/>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 xml:space="preserve">within the school, access to this data willbe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 xml:space="preserve">controlled and only provided to employeeswhere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Pr>
          <w:rStyle w:val="FootnoteReference"/>
          <w:rFonts w:ascii="Calibri" w:eastAsia="Calibri" w:hAnsi="Calibri" w:cs="Calibri"/>
          <w:sz w:val="22"/>
          <w:szCs w:val="20"/>
          <w:lang w:eastAsia="en-US"/>
        </w:rPr>
        <w:footnoteReference w:id="14"/>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5"/>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6"/>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18" w:name="_Toc340500"/>
      <w:bookmarkStart w:id="19" w:name="_Toc341947"/>
      <w:bookmarkStart w:id="20" w:name="_Toc342258"/>
      <w:bookmarkStart w:id="21" w:name="_Toc777446"/>
      <w:bookmarkStart w:id="22" w:name="_Toc1556853"/>
      <w:bookmarkStart w:id="23" w:name="_Toc4162934"/>
      <w:r w:rsidRPr="000D3519">
        <w:rPr>
          <w:rFonts w:cstheme="majorHAnsi"/>
          <w:b/>
          <w:color w:val="auto"/>
          <w:sz w:val="24"/>
          <w:szCs w:val="24"/>
          <w:lang w:eastAsia="en-GB"/>
        </w:rPr>
        <w:t>Lawful Processing</w:t>
      </w:r>
      <w:bookmarkEnd w:id="18"/>
      <w:bookmarkEnd w:id="19"/>
      <w:bookmarkEnd w:id="20"/>
      <w:bookmarkEnd w:id="21"/>
      <w:bookmarkEnd w:id="22"/>
      <w:bookmarkEnd w:id="23"/>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8"/>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lastRenderedPageBreak/>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Finally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4" w:name="_Toc340501"/>
      <w:bookmarkStart w:id="25" w:name="_Toc341948"/>
      <w:bookmarkStart w:id="26" w:name="_Toc342259"/>
      <w:bookmarkStart w:id="27" w:name="_Toc777447"/>
      <w:bookmarkStart w:id="28" w:name="_Toc1556854"/>
      <w:bookmarkStart w:id="29" w:name="_Toc4162935"/>
      <w:r w:rsidRPr="00BD3AE6">
        <w:rPr>
          <w:rFonts w:cstheme="majorHAnsi"/>
          <w:b/>
          <w:color w:val="auto"/>
          <w:sz w:val="24"/>
          <w:szCs w:val="24"/>
          <w:lang w:eastAsia="en-GB"/>
        </w:rPr>
        <w:t>Consent</w:t>
      </w:r>
      <w:bookmarkEnd w:id="24"/>
      <w:bookmarkEnd w:id="25"/>
      <w:bookmarkEnd w:id="26"/>
      <w:bookmarkEnd w:id="27"/>
      <w:bookmarkEnd w:id="28"/>
      <w:bookmarkEnd w:id="29"/>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 xml:space="preserve">Ifthe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0" w:name="_Toc340502"/>
      <w:bookmarkStart w:id="31" w:name="_Toc341949"/>
      <w:bookmarkStart w:id="32" w:name="_Toc342260"/>
      <w:bookmarkStart w:id="33" w:name="_Toc777448"/>
      <w:bookmarkStart w:id="34" w:name="_Toc1556855"/>
      <w:bookmarkStart w:id="35" w:name="_Toc4162936"/>
      <w:r w:rsidRPr="00C7671C">
        <w:rPr>
          <w:rFonts w:cstheme="majorHAnsi"/>
          <w:b/>
          <w:color w:val="auto"/>
          <w:sz w:val="24"/>
          <w:szCs w:val="24"/>
          <w:lang w:eastAsia="en-GB"/>
        </w:rPr>
        <w:t>Special Category Data</w:t>
      </w:r>
      <w:bookmarkEnd w:id="30"/>
      <w:bookmarkEnd w:id="31"/>
      <w:bookmarkEnd w:id="32"/>
      <w:bookmarkEnd w:id="33"/>
      <w:bookmarkEnd w:id="34"/>
      <w:bookmarkEnd w:id="35"/>
    </w:p>
    <w:p w:rsidR="008C50EA" w:rsidRPr="000A6688" w:rsidRDefault="002E23A5" w:rsidP="002E23A5">
      <w:pPr>
        <w:autoSpaceDE w:val="0"/>
        <w:spacing w:before="240"/>
        <w:ind w:left="576"/>
        <w:jc w:val="both"/>
        <w:rPr>
          <w:rFonts w:ascii="Calibri" w:hAnsi="Calibri" w:cs="Calibri"/>
          <w:sz w:val="22"/>
        </w:rPr>
      </w:pPr>
      <w:bookmarkStart w:id="36"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9"/>
      </w:r>
      <w:r w:rsidR="0040549D" w:rsidRPr="0040549D">
        <w:rPr>
          <w:rFonts w:ascii="Calibri" w:hAnsi="Calibri" w:cs="Calibri"/>
          <w:sz w:val="22"/>
        </w:rPr>
        <w:t>Some of</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36"/>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on the basis of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37" w:name="_Toc340504"/>
      <w:bookmarkStart w:id="38" w:name="_Toc341951"/>
      <w:bookmarkStart w:id="39" w:name="_Toc342261"/>
      <w:bookmarkStart w:id="40" w:name="_Toc777449"/>
      <w:bookmarkStart w:id="41" w:name="_Toc1556856"/>
      <w:bookmarkStart w:id="42" w:name="_Toc4162937"/>
      <w:r w:rsidRPr="00C7671C">
        <w:rPr>
          <w:rFonts w:cstheme="majorHAnsi"/>
          <w:b/>
          <w:color w:val="auto"/>
          <w:sz w:val="24"/>
          <w:szCs w:val="24"/>
          <w:lang w:eastAsia="en-GB"/>
        </w:rPr>
        <w:lastRenderedPageBreak/>
        <w:t>Transparency</w:t>
      </w:r>
      <w:bookmarkEnd w:id="37"/>
      <w:bookmarkEnd w:id="38"/>
      <w:bookmarkEnd w:id="39"/>
      <w:bookmarkEnd w:id="40"/>
      <w:bookmarkEnd w:id="41"/>
      <w:bookmarkEnd w:id="42"/>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20"/>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1"/>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A87A08">
        <w:rPr>
          <w:rStyle w:val="FootnoteReference"/>
          <w:rFonts w:ascii="Calibri" w:eastAsia="Calibri" w:hAnsi="Calibri" w:cs="Calibri"/>
          <w:sz w:val="22"/>
          <w:szCs w:val="20"/>
          <w:lang w:eastAsia="en-US"/>
        </w:rPr>
        <w:footnoteReference w:id="22"/>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3"/>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3" w:name="_Toc340505"/>
      <w:bookmarkStart w:id="44" w:name="_Toc341952"/>
      <w:bookmarkStart w:id="45" w:name="_Toc342262"/>
      <w:bookmarkStart w:id="46"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47" w:name="_Toc1556857"/>
      <w:bookmarkStart w:id="48" w:name="_Toc4162938"/>
      <w:r w:rsidRPr="00C7671C">
        <w:rPr>
          <w:rFonts w:cstheme="majorHAnsi"/>
          <w:b/>
          <w:color w:val="auto"/>
          <w:sz w:val="24"/>
          <w:szCs w:val="24"/>
          <w:lang w:eastAsia="en-GB"/>
        </w:rPr>
        <w:t>Purpose Limitation</w:t>
      </w:r>
      <w:bookmarkEnd w:id="43"/>
      <w:bookmarkEnd w:id="44"/>
      <w:bookmarkEnd w:id="45"/>
      <w:bookmarkEnd w:id="46"/>
      <w:bookmarkEnd w:id="47"/>
      <w:bookmarkEnd w:id="48"/>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5"/>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49" w:name="_Toc1556858"/>
      <w:bookmarkStart w:id="50" w:name="_Toc4162939"/>
      <w:bookmarkStart w:id="51" w:name="_Toc340506"/>
      <w:bookmarkStart w:id="52" w:name="_Toc341953"/>
      <w:bookmarkStart w:id="53" w:name="_Toc342263"/>
      <w:bookmarkStart w:id="54" w:name="_Toc777451"/>
      <w:r>
        <w:rPr>
          <w:rFonts w:cstheme="majorHAnsi"/>
          <w:b/>
          <w:color w:val="auto"/>
          <w:sz w:val="24"/>
          <w:szCs w:val="24"/>
          <w:lang w:eastAsia="en-GB"/>
        </w:rPr>
        <w:t>Data Minimisation</w:t>
      </w:r>
      <w:bookmarkEnd w:id="49"/>
      <w:bookmarkEnd w:id="50"/>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T</w:t>
      </w:r>
      <w:r w:rsidR="001103A5">
        <w:rPr>
          <w:rFonts w:ascii="Calibri" w:hAnsi="Calibri" w:cs="Calibri"/>
          <w:sz w:val="22"/>
          <w:szCs w:val="22"/>
          <w:lang w:eastAsia="en-GB"/>
        </w:rPr>
        <w:t>he school</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 xml:space="preserve">necessary for thecompletion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2D32B6">
        <w:rPr>
          <w:rFonts w:ascii="Calibri" w:hAnsi="Calibri" w:cs="Calibri"/>
          <w:sz w:val="22"/>
          <w:szCs w:val="22"/>
          <w:lang w:eastAsia="en-GB"/>
        </w:rPr>
        <w:t>whatever information isneeded</w:t>
      </w:r>
      <w:r>
        <w:rPr>
          <w:rFonts w:ascii="Calibri" w:hAnsi="Calibri" w:cs="Calibri"/>
          <w:sz w:val="22"/>
          <w:szCs w:val="22"/>
          <w:lang w:eastAsia="en-GB"/>
        </w:rPr>
        <w:t xml:space="preserve"> to operate theadmissions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6"/>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 xml:space="preserve">definedprocessing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School staff will necessarily create personal data in the course of their duties.  However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8061C1">
        <w:rPr>
          <w:rFonts w:ascii="Calibri" w:hAnsi="Calibri" w:cs="Calibri"/>
          <w:sz w:val="22"/>
          <w:szCs w:val="22"/>
          <w:lang w:eastAsia="en-GB"/>
        </w:rPr>
        <w:t xml:space="preserve">whenthe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 xml:space="preserve">includedin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55" w:name="_Toc340507"/>
      <w:bookmarkStart w:id="56" w:name="_Toc341954"/>
      <w:bookmarkStart w:id="57" w:name="_Toc342264"/>
      <w:bookmarkStart w:id="58" w:name="_Toc777452"/>
      <w:bookmarkStart w:id="59" w:name="_Toc1556859"/>
      <w:bookmarkStart w:id="60" w:name="_Toc4162940"/>
      <w:bookmarkEnd w:id="51"/>
      <w:bookmarkEnd w:id="52"/>
      <w:bookmarkEnd w:id="53"/>
      <w:bookmarkEnd w:id="54"/>
      <w:r w:rsidRPr="00C7671C">
        <w:rPr>
          <w:rFonts w:cstheme="majorHAnsi"/>
          <w:b/>
          <w:color w:val="auto"/>
          <w:sz w:val="24"/>
          <w:szCs w:val="24"/>
          <w:lang w:eastAsia="en-GB"/>
        </w:rPr>
        <w:t>Storage Limitation</w:t>
      </w:r>
      <w:bookmarkEnd w:id="55"/>
      <w:bookmarkEnd w:id="56"/>
      <w:bookmarkEnd w:id="57"/>
      <w:bookmarkEnd w:id="58"/>
      <w:bookmarkEnd w:id="59"/>
      <w:bookmarkEnd w:id="60"/>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7"/>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61" w:name="_Toc1556860"/>
      <w:bookmarkStart w:id="62" w:name="_Toc4162941"/>
      <w:r>
        <w:rPr>
          <w:rFonts w:cstheme="majorHAnsi"/>
          <w:b/>
          <w:color w:val="auto"/>
          <w:sz w:val="24"/>
          <w:szCs w:val="24"/>
          <w:lang w:eastAsia="en-GB"/>
        </w:rPr>
        <w:t>Integrity and Confidentiality</w:t>
      </w:r>
      <w:bookmarkEnd w:id="61"/>
      <w:bookmarkEnd w:id="62"/>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lastRenderedPageBreak/>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 xml:space="preserve">accountof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 xml:space="preserve">ofincidents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8"/>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63" w:name="_Toc340508"/>
      <w:bookmarkStart w:id="64" w:name="_Toc4162942"/>
      <w:r>
        <w:lastRenderedPageBreak/>
        <w:t>Categories</w:t>
      </w:r>
      <w:r w:rsidR="007C7F48" w:rsidRPr="00A87A08">
        <w:t xml:space="preserve"> of Recipients</w:t>
      </w:r>
      <w:bookmarkEnd w:id="63"/>
      <w:bookmarkEnd w:id="64"/>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w:t>
      </w:r>
      <w:r w:rsidR="00495B2B">
        <w:rPr>
          <w:rFonts w:ascii="Calibri" w:hAnsi="Calibri" w:cs="Calibri"/>
          <w:color w:val="000000" w:themeColor="text1"/>
          <w:sz w:val="22"/>
          <w:szCs w:val="20"/>
          <w:lang w:eastAsia="en-GB"/>
        </w:rPr>
        <w:t>r Returns”) using a secure Primary Online Database (</w:t>
      </w:r>
      <w:r w:rsidR="007C7F48" w:rsidRPr="00E232D2">
        <w:rPr>
          <w:rFonts w:ascii="Calibri" w:hAnsi="Calibri" w:cs="Calibri"/>
          <w:color w:val="000000" w:themeColor="text1"/>
          <w:sz w:val="22"/>
          <w:szCs w:val="20"/>
          <w:lang w:eastAsia="en-GB"/>
        </w:rPr>
        <w:t xml:space="preserve">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9"/>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30"/>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r w:rsidRPr="00E232D2">
        <w:rPr>
          <w:rFonts w:ascii="Calibri" w:hAnsi="Calibri" w:cs="Calibri"/>
          <w:i/>
          <w:color w:val="404040" w:themeColor="text1" w:themeTint="BF"/>
          <w:sz w:val="22"/>
          <w:szCs w:val="20"/>
          <w:lang w:eastAsia="en-GB"/>
        </w:rPr>
        <w:t>Túsla</w:t>
      </w:r>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1"/>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 xml:space="preserve">Other schools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the school may be asked to supply certain information about the student, such as academic record</w:t>
      </w:r>
      <w:r w:rsidR="00495B2B">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 etc.  </w:t>
      </w:r>
      <w:r w:rsidR="00495B2B">
        <w:rPr>
          <w:rFonts w:ascii="Calibri" w:hAnsi="Calibri" w:cs="Calibri"/>
          <w:color w:val="000000" w:themeColor="text1"/>
          <w:sz w:val="22"/>
          <w:szCs w:val="20"/>
          <w:lang w:eastAsia="en-GB"/>
        </w:rPr>
        <w:t>Note: Education Passport (6</w:t>
      </w:r>
      <w:r w:rsidR="00495B2B" w:rsidRPr="00495B2B">
        <w:rPr>
          <w:rFonts w:ascii="Calibri" w:hAnsi="Calibri" w:cs="Calibri"/>
          <w:color w:val="000000" w:themeColor="text1"/>
          <w:sz w:val="22"/>
          <w:szCs w:val="20"/>
          <w:vertAlign w:val="superscript"/>
          <w:lang w:eastAsia="en-GB"/>
        </w:rPr>
        <w:t>th</w:t>
      </w:r>
      <w:r w:rsidR="00495B2B">
        <w:rPr>
          <w:rFonts w:ascii="Calibri" w:hAnsi="Calibri" w:cs="Calibri"/>
          <w:color w:val="000000" w:themeColor="text1"/>
          <w:sz w:val="22"/>
          <w:szCs w:val="20"/>
          <w:lang w:eastAsia="en-GB"/>
        </w:rPr>
        <w:t xml:space="preserve"> Class Report) provided to post-primary school, after the post-primary school confirms enrolment. These protocols are set out in DES Circulars 0042/2015, 0034/2016 and Circular 0056/2011 (Initial Steps in the Implementation of the National Literacy and Numeracy Strategy).</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Default="00014917" w:rsidP="00E232D2">
      <w:pPr>
        <w:autoSpaceDE w:val="0"/>
        <w:spacing w:before="240"/>
        <w:jc w:val="both"/>
        <w:rPr>
          <w:rFonts w:ascii="Calibri" w:hAnsi="Calibri" w:cs="Calibri"/>
          <w:color w:val="000000" w:themeColor="text1"/>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not-for-profitorganisations</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495B2B" w:rsidRDefault="00495B2B" w:rsidP="00E232D2">
      <w:pPr>
        <w:autoSpaceDE w:val="0"/>
        <w:spacing w:before="240"/>
        <w:jc w:val="both"/>
        <w:rPr>
          <w:rFonts w:ascii="Calibri" w:hAnsi="Calibri" w:cs="Calibri"/>
          <w:color w:val="000000" w:themeColor="text1"/>
          <w:sz w:val="22"/>
          <w:szCs w:val="20"/>
          <w:lang w:eastAsia="en-GB"/>
        </w:rPr>
      </w:pPr>
    </w:p>
    <w:p w:rsidR="00495B2B" w:rsidRPr="00A87A08" w:rsidRDefault="00495B2B" w:rsidP="00E232D2">
      <w:pPr>
        <w:autoSpaceDE w:val="0"/>
        <w:spacing w:before="240"/>
        <w:jc w:val="both"/>
        <w:rPr>
          <w:rFonts w:ascii="Calibri" w:hAnsi="Calibri" w:cs="Calibri"/>
          <w:b/>
          <w:sz w:val="22"/>
          <w:szCs w:val="20"/>
          <w:lang w:eastAsia="en-GB"/>
        </w:rPr>
      </w:pP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t>Service Providers</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The school has implemented written contractual agreements with these 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e.g.</w:t>
      </w:r>
      <w:r w:rsidR="00BA539B">
        <w:rPr>
          <w:rFonts w:eastAsia="Calibri"/>
          <w:b w:val="0"/>
          <w:smallCaps w:val="0"/>
          <w:color w:val="000000" w:themeColor="text1"/>
          <w:sz w:val="22"/>
          <w:szCs w:val="20"/>
        </w:rPr>
        <w:t>Aladdin</w:t>
      </w:r>
      <w:r w:rsidR="00A75A35">
        <w:rPr>
          <w:rFonts w:eastAsia="Calibri"/>
          <w:b w:val="0"/>
          <w:smallCaps w:val="0"/>
          <w:color w:val="000000" w:themeColor="text1"/>
          <w:sz w:val="22"/>
          <w:szCs w:val="20"/>
        </w:rPr>
        <w:t>/</w:t>
      </w:r>
      <w:r w:rsidR="00BA539B">
        <w:rPr>
          <w:rFonts w:eastAsia="Calibri"/>
          <w:b w:val="0"/>
          <w:smallCaps w:val="0"/>
          <w:color w:val="000000" w:themeColor="text1"/>
          <w:sz w:val="22"/>
          <w:szCs w:val="20"/>
        </w:rPr>
        <w:t>Databiz</w:t>
      </w:r>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(e.g.</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(e.g.</w:t>
      </w:r>
      <w:r w:rsidRPr="00BE3D3D">
        <w:rPr>
          <w:rFonts w:eastAsia="Calibri"/>
          <w:b w:val="0"/>
          <w:smallCaps w:val="0"/>
          <w:color w:val="000000" w:themeColor="text1"/>
          <w:sz w:val="22"/>
          <w:szCs w:val="20"/>
        </w:rPr>
        <w:t>Dropbox, Google Drive, iCloud, OneDrive)</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(e.g.Youtube, </w:t>
      </w:r>
      <w:r w:rsidRPr="00BE3D3D">
        <w:rPr>
          <w:rFonts w:eastAsia="Calibri"/>
          <w:b w:val="0"/>
          <w:smallCaps w:val="0"/>
          <w:color w:val="000000" w:themeColor="text1"/>
          <w:sz w:val="22"/>
          <w:szCs w:val="20"/>
        </w:rPr>
        <w:t>Wordpress)</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s(e.g.</w:t>
      </w:r>
      <w:r w:rsidRPr="00BE3D3D">
        <w:rPr>
          <w:rFonts w:eastAsia="Calibri"/>
          <w:b w:val="0"/>
          <w:smallCaps w:val="0"/>
          <w:color w:val="000000" w:themeColor="text1"/>
          <w:sz w:val="22"/>
          <w:szCs w:val="20"/>
        </w:rPr>
        <w:t>Edmodo, Schoology, Schoolwise, Google Classroom</w:t>
      </w:r>
      <w:r>
        <w:rPr>
          <w:rFonts w:eastAsia="Calibri"/>
          <w:b w:val="0"/>
          <w:smallCaps w:val="0"/>
          <w:color w:val="000000" w:themeColor="text1"/>
          <w:sz w:val="22"/>
          <w:szCs w:val="20"/>
        </w:rPr>
        <w:t>)</w:t>
      </w:r>
    </w:p>
    <w:p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007C7F48" w:rsidRPr="00E232D2">
        <w:rPr>
          <w:rFonts w:eastAsia="Calibri"/>
          <w:b w:val="0"/>
          <w:smallCaps w:val="0"/>
          <w:color w:val="000000" w:themeColor="text1"/>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00BA539B">
        <w:rPr>
          <w:rFonts w:eastAsia="Calibri"/>
          <w:b w:val="0"/>
          <w:smallCaps w:val="0"/>
          <w:sz w:val="22"/>
          <w:szCs w:val="20"/>
          <w:lang w:eastAsia="en-US"/>
        </w:rPr>
        <w:t>Name</w:t>
      </w:r>
      <w:r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School communications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E232D2">
        <w:rPr>
          <w:rFonts w:eastAsia="Calibri"/>
          <w:b w:val="0"/>
          <w:smallCaps w:val="0"/>
          <w:sz w:val="22"/>
          <w:szCs w:val="20"/>
          <w:lang w:eastAsia="en-US"/>
        </w:rPr>
        <w:t xml:space="preserve">Security and CCTV Systems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Pension Consultants/Trustees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Accounting &amp; Payroll software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Cashless Payment Systems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Canteen Management System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554E25" w:rsidRPr="00E232D2"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65" w:name="_Toc340509"/>
      <w:bookmarkStart w:id="66" w:name="_Toc4162943"/>
      <w:r>
        <w:lastRenderedPageBreak/>
        <w:t>Managing</w:t>
      </w:r>
      <w:r w:rsidR="00457880" w:rsidRPr="00A87A08">
        <w:t xml:space="preserve"> Rights Requests</w:t>
      </w:r>
      <w:bookmarkEnd w:id="65"/>
      <w:bookmarkEnd w:id="66"/>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67" w:name="_Toc340510"/>
      <w:bookmarkStart w:id="68" w:name="_Toc341957"/>
      <w:bookmarkStart w:id="69" w:name="_Toc342267"/>
      <w:bookmarkStart w:id="70" w:name="_Toc777455"/>
      <w:bookmarkStart w:id="71" w:name="_Toc1556863"/>
      <w:bookmarkStart w:id="72" w:name="_Toc4162944"/>
      <w:r w:rsidRPr="00273EB6">
        <w:rPr>
          <w:rFonts w:cstheme="majorHAnsi"/>
          <w:b/>
          <w:color w:val="auto"/>
          <w:sz w:val="24"/>
          <w:szCs w:val="24"/>
          <w:lang w:eastAsia="en-GB"/>
        </w:rPr>
        <w:t>Responding to rights requests</w:t>
      </w:r>
      <w:bookmarkEnd w:id="67"/>
      <w:bookmarkEnd w:id="68"/>
      <w:bookmarkEnd w:id="69"/>
      <w:bookmarkEnd w:id="70"/>
      <w:bookmarkEnd w:id="71"/>
      <w:bookmarkEnd w:id="72"/>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2"/>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3"/>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4"/>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5"/>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6"/>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7"/>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8"/>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9"/>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3" w:name="_Toc340511"/>
      <w:bookmarkStart w:id="74" w:name="_Toc341958"/>
      <w:bookmarkStart w:id="75" w:name="_Toc342268"/>
      <w:bookmarkStart w:id="76" w:name="_Toc777456"/>
      <w:bookmarkStart w:id="77" w:name="_Toc1556864"/>
      <w:bookmarkStart w:id="78" w:name="_Toc4162945"/>
      <w:r w:rsidRPr="00273EB6">
        <w:rPr>
          <w:rFonts w:cstheme="majorHAnsi"/>
          <w:b/>
          <w:color w:val="auto"/>
          <w:sz w:val="24"/>
          <w:szCs w:val="24"/>
          <w:lang w:eastAsia="en-GB"/>
        </w:rPr>
        <w:t>Format of Information supplied in fulfilling a request</w:t>
      </w:r>
      <w:bookmarkEnd w:id="73"/>
      <w:bookmarkEnd w:id="74"/>
      <w:bookmarkEnd w:id="75"/>
      <w:bookmarkEnd w:id="76"/>
      <w:bookmarkEnd w:id="77"/>
      <w:bookmarkEnd w:id="78"/>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lastRenderedPageBreak/>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40"/>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79" w:name="_Toc340512"/>
      <w:bookmarkStart w:id="80" w:name="_Toc4162946"/>
      <w:bookmarkStart w:id="81"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79"/>
      <w:bookmarkEnd w:id="80"/>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tblPr>
      <w:tblGrid>
        <w:gridCol w:w="5387"/>
        <w:gridCol w:w="5103"/>
      </w:tblGrid>
      <w:tr w:rsidR="008772C0" w:rsidRPr="007C1B8C" w:rsidTr="00D93CAA">
        <w:tc>
          <w:tcPr>
            <w:tcW w:w="5387" w:type="dxa"/>
            <w:tcBorders>
              <w:bottom w:val="nil"/>
            </w:tcBorders>
            <w:shd w:val="clear" w:color="auto" w:fill="000000" w:themeFill="text1"/>
          </w:tcPr>
          <w:bookmarkEnd w:id="81"/>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CC37E1">
            <w:pPr>
              <w:rPr>
                <w:rFonts w:ascii="Arial" w:hAnsi="Arial" w:cs="Arial"/>
                <w:sz w:val="18"/>
                <w:szCs w:val="18"/>
              </w:rPr>
            </w:pPr>
            <w:r w:rsidRPr="007C1B8C">
              <w:rPr>
                <w:rFonts w:ascii="Arial" w:hAnsi="Arial" w:cs="Arial"/>
                <w:sz w:val="18"/>
                <w:szCs w:val="18"/>
              </w:rPr>
              <w:t>This information is needed to identify, contact</w:t>
            </w:r>
            <w:r w:rsidR="00CC37E1">
              <w:rPr>
                <w:rFonts w:ascii="Arial" w:hAnsi="Arial" w:cs="Arial"/>
                <w:sz w:val="18"/>
                <w:szCs w:val="18"/>
              </w:rPr>
              <w:t>or</w:t>
            </w:r>
            <w:r w:rsidRPr="007C1B8C">
              <w:rPr>
                <w:rFonts w:ascii="Arial" w:hAnsi="Arial" w:cs="Arial"/>
                <w:sz w:val="18"/>
                <w:szCs w:val="18"/>
              </w:rPr>
              <w:t>enrol</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0C4A50">
              <w:rPr>
                <w:rFonts w:ascii="Arial" w:hAnsi="Arial" w:cs="Arial"/>
                <w:sz w:val="18"/>
                <w:szCs w:val="18"/>
              </w:rPr>
              <w:t>information</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xml:space="preserve">. (Gaelscoil / Gaelcholáiste only) </w:t>
            </w:r>
          </w:p>
          <w:p w:rsidR="008772C0" w:rsidRPr="005E0958" w:rsidRDefault="008772C0" w:rsidP="00CC37E1">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r w:rsidR="00CC37E1">
              <w:rPr>
                <w:rFonts w:ascii="Arial" w:hAnsi="Arial" w:cs="Arial"/>
                <w:sz w:val="18"/>
                <w:szCs w:val="18"/>
              </w:rPr>
              <w:t>Note: Religion may no longer be used in Catholic schools as a criterion for school admission.</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CC37E1">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usedfor</w:t>
            </w:r>
            <w:r w:rsidRPr="007C1B8C">
              <w:rPr>
                <w:rFonts w:ascii="Arial" w:hAnsi="Arial" w:cs="Arial"/>
                <w:sz w:val="18"/>
                <w:szCs w:val="18"/>
              </w:rPr>
              <w:t xml:space="preserve"> administrative and management tasks e.g.</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schoolevents</w:t>
            </w:r>
            <w:r w:rsidR="00CC37E1">
              <w:rPr>
                <w:rFonts w:ascii="Arial" w:hAnsi="Arial" w:cs="Arial"/>
                <w:sz w:val="18"/>
                <w:szCs w:val="18"/>
              </w:rPr>
              <w:t xml:space="preserve">, </w:t>
            </w:r>
            <w:r w:rsidRPr="007C1B8C">
              <w:rPr>
                <w:rFonts w:ascii="Arial" w:hAnsi="Arial" w:cs="Arial"/>
                <w:sz w:val="18"/>
                <w:szCs w:val="18"/>
              </w:rPr>
              <w:t>class de</w:t>
            </w:r>
            <w:r w:rsidR="00CC37E1">
              <w:rPr>
                <w:rFonts w:ascii="Arial" w:hAnsi="Arial" w:cs="Arial"/>
                <w:sz w:val="18"/>
                <w:szCs w:val="18"/>
              </w:rPr>
              <w:t>tails, start dates, book lists</w:t>
            </w:r>
            <w:r w:rsidRPr="007C1B8C">
              <w:rPr>
                <w:rFonts w:ascii="Arial" w:hAnsi="Arial" w:cs="Arial"/>
                <w:sz w:val="18"/>
                <w:szCs w:val="18"/>
              </w:rPr>
              <w:t>,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CC37E1">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 xml:space="preserve">es of assessing literacy/numeracy progress, for assisting in referrals </w:t>
            </w:r>
            <w:r w:rsidR="00CC37E1">
              <w:rPr>
                <w:rFonts w:ascii="Arial" w:hAnsi="Arial" w:cs="Arial"/>
                <w:sz w:val="18"/>
                <w:szCs w:val="18"/>
              </w:rPr>
              <w:t xml:space="preserve">to NEPS </w:t>
            </w:r>
            <w:r w:rsidRPr="007C1B8C">
              <w:rPr>
                <w:rFonts w:ascii="Arial" w:hAnsi="Arial" w:cs="Arial"/>
                <w:sz w:val="18"/>
                <w:szCs w:val="18"/>
              </w:rPr>
              <w:t xml:space="preserv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C60BBE"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Academic information provided from one school to another </w:t>
            </w:r>
            <w:r w:rsidRPr="00C60BBE">
              <w:rPr>
                <w:rFonts w:ascii="Arial" w:hAnsi="Arial" w:cs="Arial"/>
                <w:sz w:val="18"/>
                <w:szCs w:val="18"/>
                <w:u w:val="single"/>
              </w:rPr>
              <w:t>afterthe new school</w:t>
            </w:r>
            <w:r w:rsidR="008772C0" w:rsidRPr="00C60BBE">
              <w:rPr>
                <w:rFonts w:ascii="Arial" w:hAnsi="Arial" w:cs="Arial"/>
                <w:sz w:val="18"/>
                <w:szCs w:val="18"/>
                <w:u w:val="single"/>
              </w:rPr>
              <w:t xml:space="preserve"> confirms enrolment</w:t>
            </w:r>
            <w:r w:rsidR="008772C0" w:rsidRPr="007C1B8C">
              <w:rPr>
                <w:rFonts w:ascii="Arial" w:hAnsi="Arial" w:cs="Arial"/>
                <w:sz w:val="18"/>
                <w:szCs w:val="18"/>
              </w:rPr>
              <w:t>. Pro</w:t>
            </w:r>
            <w:r>
              <w:rPr>
                <w:rFonts w:ascii="Arial" w:hAnsi="Arial" w:cs="Arial"/>
                <w:sz w:val="18"/>
                <w:szCs w:val="18"/>
              </w:rPr>
              <w:t>tocols are set out in DES Circular 0056/2011</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Pr>
                <w:rFonts w:ascii="Arial" w:hAnsi="Arial" w:cs="Arial"/>
                <w:sz w:val="18"/>
                <w:szCs w:val="18"/>
              </w:rPr>
              <w:t xml:space="preserve">(i)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 xml:space="preserve">meet the student’s medical/care needs when they are </w:t>
            </w:r>
            <w:r w:rsidRPr="007C1B8C">
              <w:rPr>
                <w:rFonts w:ascii="Arial" w:hAnsi="Arial" w:cs="Arial"/>
                <w:sz w:val="18"/>
                <w:szCs w:val="18"/>
              </w:rPr>
              <w:lastRenderedPageBreak/>
              <w:t>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sidR="006D1CFE">
              <w:rPr>
                <w:rFonts w:ascii="Arial" w:hAnsi="Arial" w:cs="Arial"/>
                <w:sz w:val="18"/>
                <w:szCs w:val="18"/>
              </w:rPr>
              <w:t>.</w:t>
            </w:r>
            <w:r w:rsidRPr="007C1B8C">
              <w:rPr>
                <w:rFonts w:ascii="Arial" w:hAnsi="Arial" w:cs="Arial"/>
                <w:sz w:val="18"/>
                <w:szCs w:val="18"/>
              </w:rPr>
              <w:t xml:space="preserve">g. notification to relevant personnel within 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(e</w:t>
            </w:r>
            <w:r w:rsidR="006D1CFE">
              <w:rPr>
                <w:rFonts w:ascii="Arial" w:hAnsi="Arial" w:cs="Arial"/>
                <w:sz w:val="18"/>
                <w:szCs w:val="18"/>
              </w:rPr>
              <w:t>.</w:t>
            </w:r>
            <w:r w:rsidRPr="007C1B8C">
              <w:rPr>
                <w:rFonts w:ascii="Arial" w:hAnsi="Arial" w:cs="Arial"/>
                <w:sz w:val="18"/>
                <w:szCs w:val="18"/>
              </w:rPr>
              <w:t xml:space="preserve">g. medical condition, allergies, treatment/care plan etc) to facilitate </w:t>
            </w:r>
            <w:r w:rsidRPr="007C1B8C">
              <w:rPr>
                <w:rFonts w:ascii="Arial" w:hAnsi="Arial" w:cs="Arial"/>
                <w:sz w:val="18"/>
                <w:szCs w:val="18"/>
              </w:rPr>
              <w:lastRenderedPageBreak/>
              <w:t xml:space="preserve">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 xml:space="preserve">(i)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w:t>
            </w:r>
            <w:r w:rsidR="006D1CFE">
              <w:rPr>
                <w:rFonts w:ascii="Arial" w:hAnsi="Arial" w:cs="Arial"/>
                <w:sz w:val="18"/>
                <w:szCs w:val="18"/>
              </w:rPr>
              <w:t>special education</w:t>
            </w:r>
            <w:r w:rsidRPr="007C1B8C">
              <w:rPr>
                <w:rFonts w:ascii="Arial" w:hAnsi="Arial" w:cs="Arial"/>
                <w:sz w:val="18"/>
                <w:szCs w:val="18"/>
              </w:rPr>
              <w:t xml:space="preserv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w:t>
            </w:r>
            <w:r w:rsidR="005C5146">
              <w:rPr>
                <w:rFonts w:ascii="Arial" w:hAnsi="Arial" w:cs="Arial"/>
                <w:sz w:val="18"/>
                <w:szCs w:val="18"/>
              </w:rPr>
              <w:t xml:space="preserve">sferred to the DES via the </w:t>
            </w:r>
            <w:r w:rsidR="008772C0" w:rsidRPr="007C1B8C">
              <w:rPr>
                <w:rFonts w:ascii="Arial" w:hAnsi="Arial" w:cs="Arial"/>
                <w:sz w:val="18"/>
                <w:szCs w:val="18"/>
              </w:rPr>
              <w:t xml:space="preserve">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5C5146">
              <w:rPr>
                <w:rFonts w:ascii="Arial" w:hAnsi="Arial" w:cs="Arial"/>
                <w:sz w:val="18"/>
                <w:szCs w:val="18"/>
                <w:u w:val="single"/>
              </w:rPr>
              <w:t xml:space="preserve"> Notice for </w:t>
            </w:r>
            <w:r w:rsidR="008772C0" w:rsidRPr="007C1B8C">
              <w:rPr>
                <w:rFonts w:ascii="Arial" w:hAnsi="Arial" w:cs="Arial"/>
                <w:sz w:val="18"/>
                <w:szCs w:val="18"/>
                <w:u w:val="single"/>
              </w:rPr>
              <w:t>POD</w:t>
            </w:r>
            <w:r w:rsidR="008772C0" w:rsidRPr="007C1B8C">
              <w:rPr>
                <w:rFonts w:ascii="Arial" w:hAnsi="Arial" w:cs="Arial"/>
                <w:sz w:val="18"/>
                <w:szCs w:val="18"/>
              </w:rPr>
              <w:t xml:space="preserve"> provided by DES.</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w:t>
            </w:r>
            <w:r w:rsidR="005C5146">
              <w:rPr>
                <w:rFonts w:ascii="Arial" w:hAnsi="Arial" w:cs="Arial"/>
                <w:sz w:val="18"/>
                <w:szCs w:val="18"/>
              </w:rPr>
              <w:t>stem, and for planning purposes, e.g.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5C5146"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p w:rsidR="005C5146" w:rsidRPr="007C1B8C" w:rsidRDefault="005C5146"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Pr>
                <w:rFonts w:ascii="Arial" w:hAnsi="Arial" w:cs="Arial"/>
                <w:sz w:val="18"/>
                <w:szCs w:val="18"/>
              </w:rPr>
              <w:t>Pupil religion*</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w:t>
            </w:r>
            <w:r w:rsidR="006D1CFE">
              <w:rPr>
                <w:rFonts w:ascii="Arial" w:hAnsi="Arial" w:cs="Arial"/>
                <w:sz w:val="18"/>
                <w:szCs w:val="18"/>
              </w:rPr>
              <w:t xml:space="preserve">uous assessment of learning and end of </w:t>
            </w:r>
            <w:r w:rsidRPr="007C1B8C">
              <w:rPr>
                <w:rFonts w:ascii="Arial" w:hAnsi="Arial" w:cs="Arial"/>
                <w:sz w:val="18"/>
                <w:szCs w:val="18"/>
              </w:rPr>
              <w:t>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 xml:space="preserve">(i)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(iii)where</w:t>
            </w:r>
            <w:r w:rsidRPr="007C1B8C">
              <w:rPr>
                <w:rFonts w:ascii="Arial" w:hAnsi="Arial" w:cs="Arial"/>
                <w:sz w:val="18"/>
                <w:szCs w:val="18"/>
              </w:rPr>
              <w:t xml:space="preserve"> the Principal is of the opinion that the student is not attending school regularly.</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w:t>
            </w:r>
            <w:r w:rsidR="006D1CFE">
              <w:rPr>
                <w:rFonts w:ascii="Arial" w:hAnsi="Arial" w:cs="Arial"/>
                <w:sz w:val="18"/>
                <w:szCs w:val="18"/>
              </w:rPr>
              <w:t>.</w:t>
            </w:r>
            <w:r w:rsidRPr="007C1B8C">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6D1CFE" w:rsidRPr="007C1B8C" w:rsidRDefault="006D1CFE" w:rsidP="00D93CAA">
            <w:pPr>
              <w:jc w:val="both"/>
              <w:rPr>
                <w:rFonts w:ascii="Arial" w:hAnsi="Arial"/>
                <w:sz w:val="18"/>
                <w:szCs w:val="18"/>
              </w:rPr>
            </w:pPr>
          </w:p>
          <w:p w:rsidR="008772C0" w:rsidRPr="007C1B8C" w:rsidRDefault="008772C0" w:rsidP="006D1CFE">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 xml:space="preserve">CCTV is in operation at the perimeter, exterior and certain internal common areas within the school both during the daytime and during the night hours each day. CCTV is used at external points on the premises (eg. at front gates, in the car-park etc) and at certain internal points (eg. front desk/reception area, corridors etc). In 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6D1CFE"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Pr>
                <w:rFonts w:ascii="Arial" w:hAnsi="Arial" w:cs="Arial"/>
                <w:sz w:val="18"/>
                <w:szCs w:val="18"/>
              </w:rPr>
              <w:t>Special Education</w:t>
            </w:r>
            <w:r w:rsidR="008772C0" w:rsidRPr="007C1B8C">
              <w:rPr>
                <w:rFonts w:ascii="Arial" w:hAnsi="Arial" w:cs="Arial"/>
                <w:sz w:val="18"/>
                <w:szCs w:val="18"/>
              </w:rPr>
              <w:t xml:space="preserve">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An Garda Síochána and any other appropriate law enforcement or child protection authorities. DES Inspectorate may seek access to the school’s child protection records for audit </w:t>
            </w:r>
            <w:r w:rsidR="006D1CFE">
              <w:rPr>
                <w:rFonts w:ascii="Arial" w:hAnsi="Arial" w:cs="Arial"/>
                <w:sz w:val="18"/>
                <w:szCs w:val="18"/>
              </w:rPr>
              <w:t xml:space="preserve">and Child Protection and Safeguarding Inspection </w:t>
            </w:r>
            <w:r w:rsidRPr="007C1B8C">
              <w:rPr>
                <w:rFonts w:ascii="Arial" w:hAnsi="Arial" w:cs="Arial"/>
                <w:sz w:val="18"/>
                <w:szCs w:val="18"/>
              </w:rPr>
              <w:t>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Meitheal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4E0A6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Pastoral Care Records</w:t>
            </w:r>
            <w:r w:rsidRPr="007C1B8C">
              <w:rPr>
                <w:rFonts w:ascii="Arial" w:hAnsi="Arial" w:cs="Arial"/>
                <w:sz w:val="18"/>
                <w:szCs w:val="18"/>
              </w:rPr>
              <w:t xml:space="preserve">: This information is required to provide access to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4E0A64" w:rsidRPr="004E0A64" w:rsidRDefault="004E0A64"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4E0A64">
              <w:rPr>
                <w:rFonts w:ascii="Arial" w:hAnsi="Arial" w:cs="Arial"/>
                <w:sz w:val="18"/>
                <w:szCs w:val="18"/>
              </w:rPr>
              <w:t xml:space="preserve">Record of behavioural concerns including frequency, persistence, context, and intensity of behaviours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w:t>
            </w:r>
            <w:r w:rsidR="004E0A64">
              <w:rPr>
                <w:rFonts w:ascii="Arial" w:hAnsi="Arial" w:cs="Arial"/>
                <w:sz w:val="18"/>
                <w:szCs w:val="18"/>
              </w:rPr>
              <w:t xml:space="preserve"> concerning Student Support </w:t>
            </w:r>
          </w:p>
          <w:p w:rsidR="008772C0" w:rsidRPr="007C1B8C" w:rsidRDefault="008772C0" w:rsidP="00D93CAA">
            <w:pPr>
              <w:jc w:val="both"/>
              <w:rPr>
                <w:rFonts w:ascii="Arial" w:hAnsi="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Cs/>
                <w:color w:val="000000"/>
                <w:sz w:val="18"/>
                <w:szCs w:val="18"/>
              </w:rPr>
              <w:t>Data will be shared with An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57086" w:rsidP="00F22432">
            <w:pPr>
              <w:pStyle w:val="c1"/>
              <w:keepNext/>
              <w:tabs>
                <w:tab w:val="left" w:pos="0"/>
              </w:tabs>
              <w:spacing w:before="0" w:beforeAutospacing="0" w:afterAutospacing="0" w:line="240" w:lineRule="auto"/>
              <w:jc w:val="both"/>
              <w:rPr>
                <w:rFonts w:ascii="Arial" w:hAnsi="Arial"/>
                <w:sz w:val="18"/>
                <w:szCs w:val="18"/>
                <w:u w:val="single"/>
              </w:rPr>
            </w:pPr>
            <w:r>
              <w:rPr>
                <w:rFonts w:ascii="Arial" w:hAnsi="Arial" w:cs="Arial"/>
                <w:bCs/>
                <w:sz w:val="18"/>
                <w:szCs w:val="18"/>
                <w:u w:val="single"/>
              </w:rPr>
              <w:lastRenderedPageBreak/>
              <w:t xml:space="preserve">Financial information </w:t>
            </w:r>
            <w:r w:rsidR="008772C0" w:rsidRPr="007C1B8C">
              <w:rPr>
                <w:rFonts w:ascii="Arial" w:hAnsi="Arial" w:cs="Arial"/>
                <w:bCs/>
                <w:sz w:val="18"/>
                <w:szCs w:val="18"/>
              </w:rPr>
              <w:t>:</w:t>
            </w:r>
            <w:r w:rsidR="008772C0" w:rsidRPr="007C1B8C">
              <w:rPr>
                <w:rFonts w:ascii="Arial" w:hAnsi="Arial" w:cs="Arial"/>
                <w:sz w:val="18"/>
                <w:szCs w:val="18"/>
              </w:rPr>
              <w:t xml:space="preserve"> Without this information, the school cannot process </w:t>
            </w:r>
            <w:r>
              <w:rPr>
                <w:rFonts w:ascii="Arial" w:hAnsi="Arial" w:cs="Arial"/>
                <w:sz w:val="18"/>
                <w:szCs w:val="18"/>
              </w:rPr>
              <w:t>payments</w:t>
            </w:r>
            <w:r w:rsidR="008772C0" w:rsidRPr="007C1B8C">
              <w:rPr>
                <w:rFonts w:ascii="Arial" w:hAnsi="Arial" w:cs="Arial"/>
                <w:sz w:val="18"/>
                <w:szCs w:val="18"/>
              </w:rPr>
              <w:t xml:space="preserve"> of monies (</w:t>
            </w:r>
            <w:r w:rsidR="008772C0" w:rsidRPr="007C1B8C">
              <w:rPr>
                <w:rFonts w:ascii="Arial" w:hAnsi="Arial" w:cs="Arial"/>
                <w:iCs/>
                <w:sz w:val="18"/>
                <w:szCs w:val="18"/>
              </w:rPr>
              <w:t>e.g</w:t>
            </w:r>
            <w:r w:rsidR="008772C0" w:rsidRPr="007C1B8C">
              <w:rPr>
                <w:rFonts w:ascii="Arial" w:hAnsi="Arial" w:cs="Arial"/>
                <w:i/>
                <w:iCs/>
                <w:sz w:val="18"/>
                <w:szCs w:val="18"/>
              </w:rPr>
              <w:t xml:space="preserve">. </w:t>
            </w:r>
            <w:r>
              <w:rPr>
                <w:rFonts w:ascii="Arial" w:hAnsi="Arial" w:cs="Arial"/>
                <w:sz w:val="18"/>
                <w:szCs w:val="18"/>
              </w:rPr>
              <w:t>Book Rental</w:t>
            </w:r>
            <w:r w:rsidR="008772C0" w:rsidRPr="007C1B8C">
              <w:rPr>
                <w:rFonts w:ascii="Arial" w:hAnsi="Arial" w:cs="Arial"/>
                <w:sz w:val="18"/>
                <w:szCs w:val="18"/>
              </w:rPr>
              <w:t>,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22432" w:rsidRPr="00E9561A" w:rsidRDefault="008772C0" w:rsidP="00F2243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w:t>
            </w:r>
          </w:p>
          <w:p w:rsidR="008772C0" w:rsidRPr="00E9561A" w:rsidRDefault="008772C0" w:rsidP="00F22432">
            <w:pPr>
              <w:pStyle w:val="c1"/>
              <w:keepLines/>
              <w:tabs>
                <w:tab w:val="left" w:pos="176"/>
              </w:tabs>
              <w:spacing w:before="0" w:beforeAutospacing="0" w:afterAutospacing="0" w:line="240" w:lineRule="auto"/>
              <w:ind w:left="176"/>
              <w:jc w:val="both"/>
              <w:rPr>
                <w:rFonts w:ascii="Arial" w:hAnsi="Arial" w:cs="Arial"/>
                <w:sz w:val="18"/>
                <w:szCs w:val="18"/>
              </w:rPr>
            </w:pP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F22432">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Pr="007C1B8C">
              <w:rPr>
                <w:rFonts w:ascii="Arial" w:hAnsi="Arial" w:cs="Arial"/>
                <w:bCs/>
                <w:color w:val="000000"/>
                <w:sz w:val="18"/>
                <w:szCs w:val="18"/>
              </w:rPr>
              <w:t>in accordance with the Education Act 1998 and other applicable legislation</w:t>
            </w:r>
            <w:r w:rsidR="00F22432">
              <w:rPr>
                <w:rFonts w:ascii="Arial" w:hAnsi="Arial" w:cs="Arial"/>
                <w:bCs/>
                <w:color w:val="000000"/>
                <w:sz w:val="18"/>
                <w:szCs w:val="18"/>
              </w:rPr>
              <w:t xml:space="preserve"> (e.g. the Charities Act 2009)</w:t>
            </w:r>
            <w:r w:rsidRPr="007C1B8C">
              <w:rPr>
                <w:rFonts w:ascii="Arial" w:hAnsi="Arial" w:cs="Arial"/>
                <w:bCs/>
                <w:color w:val="000000"/>
                <w:sz w:val="18"/>
                <w:szCs w:val="18"/>
              </w:rPr>
              <w:t>,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82" w:name="_Toc4162947"/>
      <w:r>
        <w:rPr>
          <w:rFonts w:cstheme="majorHAnsi"/>
          <w:szCs w:val="26"/>
        </w:rPr>
        <w:lastRenderedPageBreak/>
        <w:t>Reference sites</w:t>
      </w:r>
      <w:bookmarkEnd w:id="82"/>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1"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2"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(GDPRunofficial web version) 2016 </w:t>
      </w:r>
      <w:hyperlink r:id="rId13"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4"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5"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6"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7"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18"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19"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0"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1"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2"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E6" w:rsidRDefault="001B19E6">
      <w:r>
        <w:separator/>
      </w:r>
    </w:p>
  </w:endnote>
  <w:endnote w:type="continuationSeparator" w:id="1">
    <w:p w:rsidR="001B19E6" w:rsidRDefault="001B1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E" w:rsidRDefault="002D438E" w:rsidP="00731B34">
    <w:pPr>
      <w:pStyle w:val="Header"/>
      <w:tabs>
        <w:tab w:val="clear" w:pos="4320"/>
        <w:tab w:val="clear" w:pos="8640"/>
        <w:tab w:val="right" w:pos="10206"/>
      </w:tabs>
      <w:jc w:val="center"/>
      <w:rPr>
        <w:b/>
        <w:i/>
        <w:color w:val="7F7F7F" w:themeColor="text1" w:themeTint="80"/>
        <w:sz w:val="22"/>
        <w:szCs w:val="20"/>
        <w:lang w:val="en-IE"/>
      </w:rPr>
    </w:pPr>
    <w:r>
      <w:rPr>
        <w:b/>
        <w:i/>
        <w:color w:val="7F7F7F" w:themeColor="text1" w:themeTint="80"/>
        <w:sz w:val="22"/>
        <w:szCs w:val="20"/>
        <w:lang w:val="en-IE"/>
      </w:rPr>
      <w:tab/>
      <w:t xml:space="preserve">   Nov 2021</w:t>
    </w:r>
  </w:p>
  <w:p w:rsidR="002D438E" w:rsidRPr="00731B34" w:rsidRDefault="002D438E" w:rsidP="006253CA">
    <w:pPr>
      <w:pStyle w:val="Header"/>
      <w:tabs>
        <w:tab w:val="clear" w:pos="4320"/>
        <w:tab w:val="clear" w:pos="8640"/>
        <w:tab w:val="right" w:pos="10206"/>
      </w:tabs>
      <w:rPr>
        <w:b/>
        <w:i/>
        <w:color w:val="7F7F7F" w:themeColor="text1" w:themeTint="80"/>
        <w:sz w:val="22"/>
        <w:szCs w:val="20"/>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E6" w:rsidRDefault="001B19E6">
      <w:r>
        <w:separator/>
      </w:r>
    </w:p>
  </w:footnote>
  <w:footnote w:type="continuationSeparator" w:id="1">
    <w:p w:rsidR="001B19E6" w:rsidRDefault="001B19E6">
      <w:r>
        <w:continuationSeparator/>
      </w:r>
    </w:p>
  </w:footnote>
  <w:footnote w:id="2">
    <w:p w:rsidR="002D438E" w:rsidRPr="00AC6430" w:rsidRDefault="002D438E" w:rsidP="00082225">
      <w:pPr>
        <w:pStyle w:val="FootnoteText"/>
      </w:pPr>
      <w:r w:rsidRPr="00AC6430">
        <w:rPr>
          <w:rStyle w:val="FootnoteReference"/>
        </w:rPr>
        <w:footnoteRef/>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3">
    <w:p w:rsidR="002D438E" w:rsidRDefault="002D438E"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4">
    <w:p w:rsidR="002D438E" w:rsidRDefault="002D438E">
      <w:pPr>
        <w:pStyle w:val="FootnoteText"/>
      </w:pPr>
      <w:r>
        <w:rPr>
          <w:rStyle w:val="FootnoteReference"/>
        </w:rPr>
        <w:footnoteRef/>
      </w:r>
      <w:r>
        <w:t xml:space="preserve"> GDPR Article 9 sets out the lawful bases that apply to the processing of special categories of personal data.</w:t>
      </w:r>
    </w:p>
  </w:footnote>
  <w:footnote w:id="5">
    <w:p w:rsidR="002D438E" w:rsidRDefault="002D438E" w:rsidP="0078411F">
      <w:pPr>
        <w:pStyle w:val="FootnoteText"/>
      </w:pPr>
      <w:r>
        <w:rPr>
          <w:rStyle w:val="FootnoteReference"/>
        </w:rPr>
        <w:footnoteRef/>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6">
    <w:p w:rsidR="002D438E" w:rsidRPr="004712F0" w:rsidRDefault="002D438E">
      <w:pPr>
        <w:pStyle w:val="FootnoteText"/>
        <w:rPr>
          <w:lang w:val="en-IE"/>
        </w:rPr>
      </w:pPr>
      <w:r>
        <w:rPr>
          <w:rStyle w:val="FootnoteReference"/>
        </w:rPr>
        <w:footnoteRef/>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7">
    <w:p w:rsidR="002D438E" w:rsidRPr="0060381C" w:rsidRDefault="002D438E">
      <w:pPr>
        <w:pStyle w:val="FootnoteText"/>
        <w:rPr>
          <w:lang w:val="en-IE"/>
        </w:rPr>
      </w:pPr>
      <w:r>
        <w:rPr>
          <w:rStyle w:val="FootnoteReference"/>
        </w:rPr>
        <w:footnoteRef/>
      </w:r>
      <w:r w:rsidRPr="0060381C">
        <w:t>The Data Protection Act 2018 established a number of offences whereby breaches of the Act can result</w:t>
      </w:r>
      <w:r>
        <w:t xml:space="preserve"> in fines and/or imprisonment.</w:t>
      </w:r>
    </w:p>
  </w:footnote>
  <w:footnote w:id="8">
    <w:p w:rsidR="002D438E" w:rsidRPr="0022503A" w:rsidRDefault="002D438E" w:rsidP="00636E55">
      <w:pPr>
        <w:pStyle w:val="FootnoteText"/>
        <w:rPr>
          <w:rFonts w:cs="Arial"/>
          <w:szCs w:val="16"/>
        </w:rPr>
      </w:pPr>
      <w:r>
        <w:rPr>
          <w:rStyle w:val="FootnoteReference"/>
        </w:rPr>
        <w:footnoteRef/>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szCs w:val="16"/>
        </w:rPr>
        <w:t xml:space="preserve">rights </w:t>
      </w:r>
      <w:r>
        <w:rPr>
          <w:rFonts w:cs="Arial"/>
          <w:szCs w:val="16"/>
        </w:rPr>
        <w:t>see</w:t>
      </w:r>
      <w:hyperlink r:id="rId1" w:history="1">
        <w:r w:rsidRPr="0022503A">
          <w:rPr>
            <w:rStyle w:val="Hyperlink"/>
            <w:rFonts w:cs="Arial"/>
            <w:szCs w:val="16"/>
          </w:rPr>
          <w:t>www.GDPRandYOU.ie</w:t>
        </w:r>
      </w:hyperlink>
      <w:r w:rsidRPr="0022503A">
        <w:rPr>
          <w:rFonts w:cs="Arial"/>
          <w:szCs w:val="16"/>
        </w:rPr>
        <w:t>.</w:t>
      </w:r>
    </w:p>
  </w:footnote>
  <w:footnote w:id="9">
    <w:p w:rsidR="002D438E" w:rsidRDefault="002D438E" w:rsidP="00F3666F">
      <w:pPr>
        <w:pStyle w:val="FootnoteText"/>
      </w:pPr>
      <w:r>
        <w:rPr>
          <w:rStyle w:val="FootnoteReference"/>
        </w:rPr>
        <w:footnoteRef/>
      </w:r>
      <w:r>
        <w:t xml:space="preserve"> See GDPR Articles 12-23 for a full explanation of subject rights and their application.</w:t>
      </w:r>
    </w:p>
  </w:footnote>
  <w:footnote w:id="10">
    <w:p w:rsidR="002D438E" w:rsidRPr="00141083" w:rsidRDefault="002D438E"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1">
    <w:p w:rsidR="002D438E" w:rsidRPr="00B67415" w:rsidRDefault="002D438E" w:rsidP="00F96685">
      <w:pPr>
        <w:pStyle w:val="FootnoteText"/>
      </w:pPr>
      <w:r>
        <w:rPr>
          <w:rStyle w:val="FootnoteReference"/>
        </w:rPr>
        <w:footnoteRef/>
      </w:r>
      <w:r>
        <w:t xml:space="preserve"> The GDPR4schools.ie website identifies some of the GDPR Roles and Responsibilities held by different groups, namely (i)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2">
    <w:p w:rsidR="002D438E" w:rsidRPr="004D3910" w:rsidRDefault="002D438E"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(i) Acceptable Use Policy (ICT) (ii) Child Safeguarding Statement (iii) Code of Behaviour (iv) Policy on Special Education Needs (vi) Anti-Bullying Policy.</w:t>
      </w:r>
    </w:p>
  </w:footnote>
  <w:footnote w:id="13">
    <w:p w:rsidR="002D438E" w:rsidRPr="009F0265" w:rsidRDefault="002D438E">
      <w:pPr>
        <w:pStyle w:val="FootnoteText"/>
        <w:rPr>
          <w:lang w:val="en-IE"/>
        </w:rPr>
      </w:pPr>
      <w:r>
        <w:rPr>
          <w:rStyle w:val="FootnoteReference"/>
        </w:rPr>
        <w:footnoteRef/>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4">
    <w:p w:rsidR="002D438E" w:rsidRPr="003970C7" w:rsidRDefault="002D438E"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5">
    <w:p w:rsidR="002D438E" w:rsidRPr="00F27C0F" w:rsidRDefault="002D438E">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6">
    <w:p w:rsidR="002D438E" w:rsidRDefault="002D438E" w:rsidP="001B3ADE">
      <w:pPr>
        <w:pStyle w:val="FootnoteText"/>
      </w:pPr>
      <w:r>
        <w:rPr>
          <w:rStyle w:val="FootnoteReference"/>
        </w:rPr>
        <w:footnoteRef/>
      </w:r>
      <w:r w:rsidRPr="007C7B53">
        <w:t>All current and former employees of the school may be held accountable in relation to data processedby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7">
    <w:p w:rsidR="002D438E" w:rsidRDefault="002D438E"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&amp; the </w:t>
      </w:r>
      <w:r w:rsidRPr="003347C9">
        <w:rPr>
          <w:i/>
        </w:rPr>
        <w:t>Education for Persons with Special Education Needs Act 2004</w:t>
      </w:r>
      <w:r>
        <w:t>.</w:t>
      </w:r>
    </w:p>
  </w:footnote>
  <w:footnote w:id="18">
    <w:p w:rsidR="002D438E" w:rsidRDefault="002D438E" w:rsidP="008C50EA">
      <w:pPr>
        <w:pStyle w:val="FootnoteText"/>
      </w:pPr>
      <w:r>
        <w:rPr>
          <w:rStyle w:val="FootnoteReference"/>
        </w:rPr>
        <w:footnoteRef/>
      </w:r>
      <w:r>
        <w:t xml:space="preserve"> Data subjects have a right to object to processing that is undertaken based on legitimate interests. In such cases the Controller must demonstrate that there is an overriding need if the processing is to continue.</w:t>
      </w:r>
    </w:p>
  </w:footnote>
  <w:footnote w:id="19">
    <w:p w:rsidR="002D438E" w:rsidRDefault="002D438E" w:rsidP="008C50EA">
      <w:pPr>
        <w:pStyle w:val="FootnoteText"/>
      </w:pPr>
      <w:r>
        <w:rPr>
          <w:rStyle w:val="FootnoteReference"/>
        </w:rPr>
        <w:footnoteRef/>
      </w:r>
      <w:r w:rsidRPr="003D244B">
        <w:t>The Data Protection Act 2018 makes provision for some addition</w:t>
      </w:r>
      <w:r>
        <w:t>al conditionsthat can legitimise the processing of special category data</w:t>
      </w:r>
      <w:r w:rsidRPr="003D244B">
        <w:t xml:space="preserve">.  </w:t>
      </w:r>
    </w:p>
  </w:footnote>
  <w:footnote w:id="20">
    <w:p w:rsidR="002D438E" w:rsidRPr="00831BE2" w:rsidRDefault="002D438E" w:rsidP="008C50EA">
      <w:pPr>
        <w:pStyle w:val="FootnoteText"/>
        <w:rPr>
          <w:lang w:val="en-IE"/>
        </w:rPr>
      </w:pPr>
      <w:r>
        <w:rPr>
          <w:rStyle w:val="FootnoteReference"/>
        </w:rPr>
        <w:footnoteRef/>
      </w:r>
      <w:r w:rsidRPr="00831BE2">
        <w:t>GDPR Articles 13 (or 14)</w:t>
      </w:r>
    </w:p>
  </w:footnote>
  <w:footnote w:id="21">
    <w:p w:rsidR="002D438E" w:rsidRPr="00AC6430" w:rsidRDefault="002D438E" w:rsidP="00F84A95">
      <w:pPr>
        <w:pStyle w:val="FootnoteText"/>
      </w:pPr>
      <w:r w:rsidRPr="00AC6430">
        <w:rPr>
          <w:rStyle w:val="FootnoteReference"/>
        </w:rPr>
        <w:footnoteRef/>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2">
    <w:p w:rsidR="002D438E" w:rsidRPr="00055ED3" w:rsidRDefault="002D438E"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t xml:space="preserve">Notwithstanding this, school staff should be made aware that valid requests may be submitted in a variety of formats (i.e. not necessarily in writing).  </w:t>
      </w:r>
    </w:p>
  </w:footnote>
  <w:footnote w:id="23">
    <w:p w:rsidR="002D438E" w:rsidRDefault="002D438E"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4">
    <w:p w:rsidR="002D438E" w:rsidRDefault="002D438E"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5">
    <w:p w:rsidR="002D438E" w:rsidRDefault="002D438E"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6">
    <w:p w:rsidR="002D438E" w:rsidRPr="002D32B6" w:rsidRDefault="002D438E">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AdmissionsPolicy.  For example, SEN data may be required to consider whether the student fulfils the criteria for admission to a special education needs unit within a mainstream school.</w:t>
      </w:r>
    </w:p>
  </w:footnote>
  <w:footnote w:id="27">
    <w:p w:rsidR="002D438E" w:rsidRPr="0073258F" w:rsidRDefault="002D438E"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rFonts w:ascii="Arial" w:hAnsi="Arial"/>
          <w:sz w:val="16"/>
          <w:szCs w:val="16"/>
        </w:rPr>
        <w:t>see</w:t>
      </w:r>
      <w:hyperlink r:id="rId2" w:history="1">
        <w:r w:rsidRPr="007B0AD3">
          <w:rPr>
            <w:rFonts w:ascii="Arial" w:hAnsi="Arial"/>
            <w:sz w:val="16"/>
          </w:rPr>
          <w:t>http://www.dataprotectionschools.ie/en/Data-Protection-Guidelines/Records-Retention/</w:t>
        </w:r>
      </w:hyperlink>
    </w:p>
  </w:footnote>
  <w:footnote w:id="28">
    <w:p w:rsidR="002D438E" w:rsidRPr="00CB6119" w:rsidRDefault="002D438E">
      <w:pPr>
        <w:pStyle w:val="FootnoteText"/>
        <w:rPr>
          <w:lang w:val="en-IE"/>
        </w:rPr>
      </w:pPr>
      <w:r>
        <w:rPr>
          <w:rStyle w:val="FootnoteReference"/>
        </w:rPr>
        <w:footnoteRef/>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29">
    <w:p w:rsidR="002D438E" w:rsidRPr="00CD0774" w:rsidRDefault="002D438E">
      <w:pPr>
        <w:pStyle w:val="FootnoteText"/>
        <w:rPr>
          <w:lang w:val="en-IE"/>
        </w:rPr>
      </w:pPr>
      <w:r>
        <w:rPr>
          <w:rStyle w:val="FootnoteReference"/>
        </w:rPr>
        <w:footnoteRef/>
      </w:r>
      <w:r w:rsidRPr="00CD0774">
        <w:t>Where the October Returns include sensitive personal data regarding personal circumstances then explicit and informed consent for the transfer of this data may be sought from students/parents/guardians</w:t>
      </w:r>
      <w:r>
        <w:t>.</w:t>
      </w:r>
    </w:p>
  </w:footnote>
  <w:footnote w:id="30">
    <w:p w:rsidR="002D438E" w:rsidRPr="00B2760D" w:rsidRDefault="002D438E"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 xml:space="preserve"> 0037/2016</w:t>
      </w:r>
      <w:r w:rsidRPr="00B2760D">
        <w:t xml:space="preserve"> in the “Circulars” section</w:t>
      </w:r>
      <w:r>
        <w:t xml:space="preserve"> and Fair Processing Notice September 2015</w:t>
      </w:r>
      <w:r w:rsidRPr="00B2760D">
        <w:t xml:space="preserve">).  </w:t>
      </w:r>
      <w:r w:rsidRPr="00E232D2">
        <w:t>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31">
    <w:p w:rsidR="002D438E" w:rsidRPr="00E232D2" w:rsidRDefault="002D438E">
      <w:pPr>
        <w:pStyle w:val="FootnoteText"/>
        <w:rPr>
          <w:lang w:val="en-IE"/>
        </w:rPr>
      </w:pPr>
      <w:r>
        <w:rPr>
          <w:rStyle w:val="FootnoteReference"/>
        </w:rPr>
        <w:footnoteRef/>
      </w:r>
      <w:r w:rsidRPr="00E232D2">
        <w:t>Túsla, the Child and Family Agency, is the State agency responsible for improving wellbeing and outcomes for children</w:t>
      </w:r>
      <w:r>
        <w:t>.</w:t>
      </w:r>
    </w:p>
  </w:footnote>
  <w:footnote w:id="32">
    <w:p w:rsidR="002D438E" w:rsidRPr="003D051E" w:rsidRDefault="002D438E"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3">
    <w:p w:rsidR="002D438E" w:rsidRPr="00B21986" w:rsidRDefault="002D438E" w:rsidP="00DF694F">
      <w:pPr>
        <w:pStyle w:val="FootnoteText"/>
      </w:pPr>
      <w:r w:rsidRPr="002A66F6">
        <w:rPr>
          <w:rStyle w:val="FootnoteReference"/>
          <w:sz w:val="18"/>
        </w:rPr>
        <w:footnoteRef/>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4">
    <w:p w:rsidR="002D438E" w:rsidRPr="00972D44" w:rsidRDefault="002D438E" w:rsidP="00DF694F">
      <w:pPr>
        <w:pStyle w:val="FootnoteText"/>
        <w:rPr>
          <w:lang w:val="en-IE"/>
        </w:rPr>
      </w:pPr>
      <w:r>
        <w:rPr>
          <w:rStyle w:val="FootnoteReference"/>
        </w:rPr>
        <w:footnoteRef/>
      </w:r>
      <w:r>
        <w:t xml:space="preserve"> In such circumstances, t</w:t>
      </w:r>
      <w:r w:rsidRPr="00972D44">
        <w:t xml:space="preserve">he </w:t>
      </w:r>
      <w:r>
        <w:t>schoolmust be able to</w:t>
      </w:r>
      <w:r w:rsidRPr="00972D44">
        <w:t xml:space="preserve"> demonstrat</w:t>
      </w:r>
      <w:r>
        <w:t>e</w:t>
      </w:r>
      <w:r w:rsidRPr="00972D44">
        <w:t xml:space="preserve"> the manifestly unfounded or excessive character of </w:t>
      </w:r>
      <w:r>
        <w:t>a</w:t>
      </w:r>
      <w:r w:rsidRPr="00972D44">
        <w:t xml:space="preserve"> request.</w:t>
      </w:r>
    </w:p>
  </w:footnote>
  <w:footnote w:id="35">
    <w:p w:rsidR="002D438E" w:rsidRPr="008424DC" w:rsidRDefault="002D438E" w:rsidP="00DF694F">
      <w:pPr>
        <w:pStyle w:val="FootnoteText"/>
        <w:rPr>
          <w:lang w:val="en-IE"/>
        </w:rPr>
      </w:pPr>
      <w:r>
        <w:rPr>
          <w:rStyle w:val="FootnoteReference"/>
        </w:rPr>
        <w:footnoteRef/>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6">
    <w:p w:rsidR="002D438E" w:rsidRPr="00DC01D8" w:rsidRDefault="002D438E"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7">
    <w:p w:rsidR="002D438E" w:rsidRPr="00D92141" w:rsidRDefault="002D438E" w:rsidP="00DF694F">
      <w:pPr>
        <w:pStyle w:val="FootnoteText"/>
        <w:rPr>
          <w:lang w:val="en-IE"/>
        </w:rPr>
      </w:pPr>
      <w:r>
        <w:rPr>
          <w:rStyle w:val="FootnoteReference"/>
        </w:rPr>
        <w:footnoteRef/>
      </w:r>
      <w:r w:rsidRPr="00D92141">
        <w:t xml:space="preserve">That period may be extended by two further months where necessary, taking into account the complexity and number of the requests. The </w:t>
      </w:r>
      <w:r>
        <w:t>schoolmust</w:t>
      </w:r>
      <w:r w:rsidRPr="00D92141">
        <w:t xml:space="preserve"> inform the data subject of any such extension within one month of receipt of the request, together with the reasons for the delay</w:t>
      </w:r>
      <w:r>
        <w:t>.</w:t>
      </w:r>
    </w:p>
  </w:footnote>
  <w:footnote w:id="38">
    <w:p w:rsidR="002D438E" w:rsidRPr="00F5793D" w:rsidRDefault="002D438E" w:rsidP="00DF694F">
      <w:pPr>
        <w:pStyle w:val="FootnoteText"/>
        <w:rPr>
          <w:lang w:val="en-IE"/>
        </w:rPr>
      </w:pPr>
      <w:r>
        <w:rPr>
          <w:rStyle w:val="FootnoteReference"/>
        </w:rPr>
        <w:footnoteRef/>
      </w:r>
      <w:r>
        <w:rPr>
          <w:lang w:val="en-IE"/>
        </w:rPr>
        <w:t xml:space="preserve">See for example GDPR Article 23 and Irish Data Protection Act 2018 S.56, S.60, S.61. </w:t>
      </w:r>
    </w:p>
  </w:footnote>
  <w:footnote w:id="39">
    <w:p w:rsidR="002D438E" w:rsidRPr="00B21986" w:rsidRDefault="002D438E" w:rsidP="00DF694F">
      <w:pPr>
        <w:pStyle w:val="FootnoteText"/>
      </w:pPr>
      <w:r>
        <w:rPr>
          <w:rStyle w:val="FootnoteReference"/>
        </w:rPr>
        <w:footnoteRef/>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40">
    <w:p w:rsidR="002D438E" w:rsidRPr="00062D72" w:rsidRDefault="002D438E"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E" w:rsidRPr="005F5B8A" w:rsidRDefault="002D438E" w:rsidP="00985D84">
    <w:pPr>
      <w:pStyle w:val="Header"/>
      <w:pBdr>
        <w:bottom w:val="single" w:sz="4" w:space="1" w:color="auto"/>
      </w:pBdr>
      <w:tabs>
        <w:tab w:val="clear" w:pos="8640"/>
        <w:tab w:val="right" w:pos="9639"/>
        <w:tab w:val="right" w:pos="9900"/>
      </w:tabs>
      <w:rPr>
        <w:b/>
        <w:i/>
        <w:color w:val="7F7F7F" w:themeColor="text1" w:themeTint="80"/>
        <w:sz w:val="18"/>
        <w:szCs w:val="20"/>
      </w:rPr>
    </w:pPr>
    <w:r>
      <w:rPr>
        <w:b/>
        <w:i/>
        <w:color w:val="7F7F7F" w:themeColor="text1" w:themeTint="80"/>
        <w:sz w:val="18"/>
        <w:szCs w:val="20"/>
      </w:rPr>
      <w:t>St. John’s School Data Protection Policy</w:t>
    </w:r>
    <w:r w:rsidRPr="005F5B8A">
      <w:rPr>
        <w:b/>
        <w:i/>
        <w:color w:val="7F7F7F" w:themeColor="text1" w:themeTint="80"/>
        <w:sz w:val="18"/>
        <w:szCs w:val="20"/>
      </w:rPr>
      <w:tab/>
    </w:r>
    <w:r w:rsidRPr="00874F57">
      <w:rPr>
        <w:b/>
        <w:i/>
        <w:color w:val="7F7F7F" w:themeColor="text1" w:themeTint="80"/>
        <w:sz w:val="18"/>
        <w:szCs w:val="20"/>
      </w:rPr>
      <w:t xml:space="preserve">Page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PAGE </w:instrText>
    </w:r>
    <w:r w:rsidRPr="00874F57">
      <w:rPr>
        <w:b/>
        <w:i/>
        <w:color w:val="7F7F7F" w:themeColor="text1" w:themeTint="80"/>
        <w:sz w:val="18"/>
        <w:szCs w:val="20"/>
      </w:rPr>
      <w:fldChar w:fldCharType="separate"/>
    </w:r>
    <w:r w:rsidR="00CE3ED8">
      <w:rPr>
        <w:b/>
        <w:i/>
        <w:noProof/>
        <w:color w:val="7F7F7F" w:themeColor="text1" w:themeTint="80"/>
        <w:sz w:val="18"/>
        <w:szCs w:val="20"/>
      </w:rPr>
      <w:t>1</w:t>
    </w:r>
    <w:r w:rsidRPr="00874F57">
      <w:rPr>
        <w:b/>
        <w:i/>
        <w:color w:val="7F7F7F" w:themeColor="text1" w:themeTint="80"/>
        <w:sz w:val="18"/>
        <w:szCs w:val="20"/>
      </w:rPr>
      <w:fldChar w:fldCharType="end"/>
    </w:r>
    <w:r>
      <w:rPr>
        <w:b/>
        <w:i/>
        <w:color w:val="7F7F7F" w:themeColor="text1" w:themeTint="80"/>
        <w:sz w:val="18"/>
        <w:szCs w:val="20"/>
      </w:rPr>
      <w:t xml:space="preserve"> of</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NUMPAGES </w:instrText>
    </w:r>
    <w:r w:rsidRPr="00874F57">
      <w:rPr>
        <w:b/>
        <w:i/>
        <w:color w:val="7F7F7F" w:themeColor="text1" w:themeTint="80"/>
        <w:sz w:val="18"/>
        <w:szCs w:val="20"/>
      </w:rPr>
      <w:fldChar w:fldCharType="separate"/>
    </w:r>
    <w:r w:rsidR="00CE3ED8">
      <w:rPr>
        <w:b/>
        <w:i/>
        <w:noProof/>
        <w:color w:val="7F7F7F" w:themeColor="text1" w:themeTint="80"/>
        <w:sz w:val="18"/>
        <w:szCs w:val="20"/>
      </w:rPr>
      <w:t>24</w:t>
    </w:r>
    <w:r w:rsidRPr="00874F57">
      <w:rPr>
        <w:b/>
        <w:i/>
        <w:color w:val="7F7F7F" w:themeColor="text1" w:themeTint="80"/>
        <w:sz w:val="18"/>
        <w:szCs w:val="20"/>
      </w:rPr>
      <w:fldChar w:fldCharType="end"/>
    </w:r>
  </w:p>
  <w:p w:rsidR="002D438E" w:rsidRPr="007C508D" w:rsidRDefault="002D438E"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102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0"/>
    <w:footnote w:id="1"/>
  </w:footnotePr>
  <w:endnotePr>
    <w:endnote w:id="0"/>
    <w:endnote w:id="1"/>
  </w:endnotePr>
  <w:compat/>
  <w:rsids>
    <w:rsidRoot w:val="006157C8"/>
    <w:rsid w:val="00000FEE"/>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A0063"/>
    <w:rsid w:val="000A4B4F"/>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03833"/>
    <w:rsid w:val="001103A5"/>
    <w:rsid w:val="001228E9"/>
    <w:rsid w:val="00122F7B"/>
    <w:rsid w:val="0012533F"/>
    <w:rsid w:val="00125757"/>
    <w:rsid w:val="001265DE"/>
    <w:rsid w:val="00133E86"/>
    <w:rsid w:val="00135225"/>
    <w:rsid w:val="001370DD"/>
    <w:rsid w:val="00141083"/>
    <w:rsid w:val="001423E9"/>
    <w:rsid w:val="00144098"/>
    <w:rsid w:val="00146A31"/>
    <w:rsid w:val="001507A4"/>
    <w:rsid w:val="00150A32"/>
    <w:rsid w:val="00153809"/>
    <w:rsid w:val="00154807"/>
    <w:rsid w:val="001552B4"/>
    <w:rsid w:val="00155DA1"/>
    <w:rsid w:val="0015635D"/>
    <w:rsid w:val="00160F9E"/>
    <w:rsid w:val="00165852"/>
    <w:rsid w:val="00167167"/>
    <w:rsid w:val="00176803"/>
    <w:rsid w:val="0018206E"/>
    <w:rsid w:val="001A35D9"/>
    <w:rsid w:val="001B19E6"/>
    <w:rsid w:val="001B2280"/>
    <w:rsid w:val="001B235F"/>
    <w:rsid w:val="001B3ADE"/>
    <w:rsid w:val="001B5933"/>
    <w:rsid w:val="001C4E7B"/>
    <w:rsid w:val="001C59DC"/>
    <w:rsid w:val="001D00E8"/>
    <w:rsid w:val="001D4637"/>
    <w:rsid w:val="001E20C8"/>
    <w:rsid w:val="001E71AA"/>
    <w:rsid w:val="00202D49"/>
    <w:rsid w:val="00204295"/>
    <w:rsid w:val="00205AC2"/>
    <w:rsid w:val="002126B3"/>
    <w:rsid w:val="00214DC5"/>
    <w:rsid w:val="002179FC"/>
    <w:rsid w:val="002220FB"/>
    <w:rsid w:val="002236F1"/>
    <w:rsid w:val="0022503A"/>
    <w:rsid w:val="002257FA"/>
    <w:rsid w:val="00226F02"/>
    <w:rsid w:val="002330EF"/>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38E"/>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5B2B"/>
    <w:rsid w:val="004967DF"/>
    <w:rsid w:val="004A2B9C"/>
    <w:rsid w:val="004A7B28"/>
    <w:rsid w:val="004B1257"/>
    <w:rsid w:val="004B1548"/>
    <w:rsid w:val="004B77CC"/>
    <w:rsid w:val="004C223D"/>
    <w:rsid w:val="004C2EC3"/>
    <w:rsid w:val="004C5BDE"/>
    <w:rsid w:val="004C673F"/>
    <w:rsid w:val="004D3910"/>
    <w:rsid w:val="004D6310"/>
    <w:rsid w:val="004E08CE"/>
    <w:rsid w:val="004E0A64"/>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20FE"/>
    <w:rsid w:val="005520E4"/>
    <w:rsid w:val="00554589"/>
    <w:rsid w:val="00554E25"/>
    <w:rsid w:val="00556F4A"/>
    <w:rsid w:val="005574DC"/>
    <w:rsid w:val="00567C75"/>
    <w:rsid w:val="005703DD"/>
    <w:rsid w:val="00572F71"/>
    <w:rsid w:val="0057653D"/>
    <w:rsid w:val="005819B8"/>
    <w:rsid w:val="00584C8C"/>
    <w:rsid w:val="00590D04"/>
    <w:rsid w:val="00591733"/>
    <w:rsid w:val="005931EA"/>
    <w:rsid w:val="005956E2"/>
    <w:rsid w:val="00595E6E"/>
    <w:rsid w:val="005A241B"/>
    <w:rsid w:val="005A55DD"/>
    <w:rsid w:val="005A63B2"/>
    <w:rsid w:val="005B7A3C"/>
    <w:rsid w:val="005C0D88"/>
    <w:rsid w:val="005C412A"/>
    <w:rsid w:val="005C5146"/>
    <w:rsid w:val="005C6E8D"/>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53CA"/>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CFE"/>
    <w:rsid w:val="006D1FD1"/>
    <w:rsid w:val="006F69E0"/>
    <w:rsid w:val="00712992"/>
    <w:rsid w:val="00714143"/>
    <w:rsid w:val="00715481"/>
    <w:rsid w:val="007160C3"/>
    <w:rsid w:val="007207AB"/>
    <w:rsid w:val="007269DE"/>
    <w:rsid w:val="00731B34"/>
    <w:rsid w:val="00731F40"/>
    <w:rsid w:val="0073688A"/>
    <w:rsid w:val="00743538"/>
    <w:rsid w:val="0074558D"/>
    <w:rsid w:val="0075089D"/>
    <w:rsid w:val="00753258"/>
    <w:rsid w:val="007548F6"/>
    <w:rsid w:val="007551F8"/>
    <w:rsid w:val="00764126"/>
    <w:rsid w:val="00764E7D"/>
    <w:rsid w:val="00783A83"/>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3902"/>
    <w:rsid w:val="00855059"/>
    <w:rsid w:val="00855B55"/>
    <w:rsid w:val="00857086"/>
    <w:rsid w:val="008615D3"/>
    <w:rsid w:val="00864330"/>
    <w:rsid w:val="008648AB"/>
    <w:rsid w:val="00867722"/>
    <w:rsid w:val="00870F2E"/>
    <w:rsid w:val="00872C09"/>
    <w:rsid w:val="00873E43"/>
    <w:rsid w:val="00874D5E"/>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38DC"/>
    <w:rsid w:val="009C4906"/>
    <w:rsid w:val="009E27CD"/>
    <w:rsid w:val="009E3EEB"/>
    <w:rsid w:val="009F0265"/>
    <w:rsid w:val="009F5C6D"/>
    <w:rsid w:val="00A01490"/>
    <w:rsid w:val="00A01C28"/>
    <w:rsid w:val="00A10DBE"/>
    <w:rsid w:val="00A12985"/>
    <w:rsid w:val="00A249E4"/>
    <w:rsid w:val="00A253C7"/>
    <w:rsid w:val="00A257C3"/>
    <w:rsid w:val="00A258E8"/>
    <w:rsid w:val="00A25DF3"/>
    <w:rsid w:val="00A30C65"/>
    <w:rsid w:val="00A31BD0"/>
    <w:rsid w:val="00A336BD"/>
    <w:rsid w:val="00A338F8"/>
    <w:rsid w:val="00A34C3B"/>
    <w:rsid w:val="00A44BCC"/>
    <w:rsid w:val="00A46DA7"/>
    <w:rsid w:val="00A53186"/>
    <w:rsid w:val="00A57614"/>
    <w:rsid w:val="00A61D4F"/>
    <w:rsid w:val="00A620DB"/>
    <w:rsid w:val="00A652CA"/>
    <w:rsid w:val="00A66A22"/>
    <w:rsid w:val="00A67F95"/>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8074A"/>
    <w:rsid w:val="00B8314B"/>
    <w:rsid w:val="00B834B9"/>
    <w:rsid w:val="00B84828"/>
    <w:rsid w:val="00B90465"/>
    <w:rsid w:val="00B91A2E"/>
    <w:rsid w:val="00B92918"/>
    <w:rsid w:val="00B94EF9"/>
    <w:rsid w:val="00BA25EB"/>
    <w:rsid w:val="00BA3152"/>
    <w:rsid w:val="00BA539B"/>
    <w:rsid w:val="00BA7E47"/>
    <w:rsid w:val="00BB77DB"/>
    <w:rsid w:val="00BC1569"/>
    <w:rsid w:val="00BC4DDB"/>
    <w:rsid w:val="00BC6B2E"/>
    <w:rsid w:val="00BD3AE6"/>
    <w:rsid w:val="00BD3FE3"/>
    <w:rsid w:val="00BE10F2"/>
    <w:rsid w:val="00BE3D3D"/>
    <w:rsid w:val="00BE6BBF"/>
    <w:rsid w:val="00BE711B"/>
    <w:rsid w:val="00BF0154"/>
    <w:rsid w:val="00BF08E8"/>
    <w:rsid w:val="00BF3862"/>
    <w:rsid w:val="00BF585E"/>
    <w:rsid w:val="00BF7E1D"/>
    <w:rsid w:val="00C062A1"/>
    <w:rsid w:val="00C07F77"/>
    <w:rsid w:val="00C10DFA"/>
    <w:rsid w:val="00C22EF5"/>
    <w:rsid w:val="00C23A23"/>
    <w:rsid w:val="00C2648E"/>
    <w:rsid w:val="00C2669C"/>
    <w:rsid w:val="00C30E64"/>
    <w:rsid w:val="00C36BB0"/>
    <w:rsid w:val="00C408B9"/>
    <w:rsid w:val="00C46068"/>
    <w:rsid w:val="00C465B7"/>
    <w:rsid w:val="00C50BEE"/>
    <w:rsid w:val="00C51123"/>
    <w:rsid w:val="00C53040"/>
    <w:rsid w:val="00C5516B"/>
    <w:rsid w:val="00C60BBE"/>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76CA"/>
    <w:rsid w:val="00CB5169"/>
    <w:rsid w:val="00CB6119"/>
    <w:rsid w:val="00CC0D5B"/>
    <w:rsid w:val="00CC37E1"/>
    <w:rsid w:val="00CC57D5"/>
    <w:rsid w:val="00CD0774"/>
    <w:rsid w:val="00CD70BB"/>
    <w:rsid w:val="00CE3E38"/>
    <w:rsid w:val="00CE3ED8"/>
    <w:rsid w:val="00CE426A"/>
    <w:rsid w:val="00CF5243"/>
    <w:rsid w:val="00CF6444"/>
    <w:rsid w:val="00CF663D"/>
    <w:rsid w:val="00CF756B"/>
    <w:rsid w:val="00D003C6"/>
    <w:rsid w:val="00D10A1E"/>
    <w:rsid w:val="00D140F5"/>
    <w:rsid w:val="00D152FE"/>
    <w:rsid w:val="00D22FBC"/>
    <w:rsid w:val="00D25E14"/>
    <w:rsid w:val="00D2703C"/>
    <w:rsid w:val="00D27437"/>
    <w:rsid w:val="00D30672"/>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C3B7C"/>
    <w:rsid w:val="00DD5F01"/>
    <w:rsid w:val="00DD71A2"/>
    <w:rsid w:val="00DE13E0"/>
    <w:rsid w:val="00DE76B1"/>
    <w:rsid w:val="00DF0249"/>
    <w:rsid w:val="00DF0491"/>
    <w:rsid w:val="00DF6844"/>
    <w:rsid w:val="00DF694F"/>
    <w:rsid w:val="00E02A6C"/>
    <w:rsid w:val="00E040C7"/>
    <w:rsid w:val="00E066A9"/>
    <w:rsid w:val="00E104BA"/>
    <w:rsid w:val="00E14110"/>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1DC6"/>
    <w:rsid w:val="00E846AC"/>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432"/>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footnote text"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1">
    <w:name w:val="Unresolved Mention1"/>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dpr-info.eu/" TargetMode="External"/><Relationship Id="rId18" Type="http://schemas.openxmlformats.org/officeDocument/2006/relationships/hyperlink" Target="https://edpb.europa.eu/" TargetMode="External"/><Relationship Id="rId3" Type="http://schemas.openxmlformats.org/officeDocument/2006/relationships/styles" Target="styles.xml"/><Relationship Id="rId21" Type="http://schemas.openxmlformats.org/officeDocument/2006/relationships/hyperlink" Target="https://www.ncsc.gov.ie/" TargetMode="External"/><Relationship Id="rId7" Type="http://schemas.openxmlformats.org/officeDocument/2006/relationships/endnotes" Target="endnotes.xml"/><Relationship Id="rId12" Type="http://schemas.openxmlformats.org/officeDocument/2006/relationships/hyperlink" Target="https://eur-lex.europa.eu/eli/reg/2016/679/oj" TargetMode="External"/><Relationship Id="rId17" Type="http://schemas.openxmlformats.org/officeDocument/2006/relationships/hyperlink" Target="https://forms.dataprotection.ie/report-a-breach-of-personal-data" TargetMode="External"/><Relationship Id="rId2" Type="http://schemas.openxmlformats.org/officeDocument/2006/relationships/numbering" Target="numbering.xml"/><Relationship Id="rId16" Type="http://schemas.openxmlformats.org/officeDocument/2006/relationships/hyperlink" Target="https://www.dataprotection.ie/" TargetMode="External"/><Relationship Id="rId20" Type="http://schemas.openxmlformats.org/officeDocument/2006/relationships/hyperlink" Target="https://www.pdsttechnologyineduca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8/act/7/enacted/e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taprotectionschools.ie/e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dpb.europa.eu/our-work-tools/general-guidance/gdpr-guidelines-recommendations-best-practice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dpr4schools.ie/" TargetMode="External"/><Relationship Id="rId22" Type="http://schemas.openxmlformats.org/officeDocument/2006/relationships/hyperlink" Target="https://www.ncsc.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DB69-BDA0-854A-AEAA-214F55E0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10208</Words>
  <Characters>58191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68263</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Drury</dc:creator>
  <cp:lastModifiedBy>User</cp:lastModifiedBy>
  <cp:revision>3</cp:revision>
  <cp:lastPrinted>2021-11-29T11:21:00Z</cp:lastPrinted>
  <dcterms:created xsi:type="dcterms:W3CDTF">2021-11-29T11:20:00Z</dcterms:created>
  <dcterms:modified xsi:type="dcterms:W3CDTF">2021-11-29T11:32:00Z</dcterms:modified>
</cp:coreProperties>
</file>